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1ACF" w14:textId="77777777" w:rsidR="00D51D8C" w:rsidRDefault="00D51D8C">
      <w:pPr>
        <w:adjustRightInd w:val="0"/>
        <w:snapToGrid w:val="0"/>
        <w:spacing w:beforeLines="50" w:before="156" w:afterLines="50" w:after="156" w:line="360" w:lineRule="auto"/>
        <w:ind w:firstLine="315"/>
        <w:rPr>
          <w:rFonts w:ascii="宋体" w:hAnsi="宋体" w:hint="eastAsia"/>
          <w:szCs w:val="21"/>
        </w:rPr>
      </w:pPr>
    </w:p>
    <w:p w14:paraId="1F0832B2" w14:textId="77777777" w:rsidR="00D51D8C" w:rsidRDefault="00D51D8C">
      <w:pPr>
        <w:adjustRightInd w:val="0"/>
        <w:snapToGrid w:val="0"/>
        <w:spacing w:beforeLines="50" w:before="156" w:afterLines="50" w:after="156" w:line="360" w:lineRule="auto"/>
        <w:ind w:firstLine="315"/>
        <w:rPr>
          <w:rFonts w:ascii="宋体" w:hAnsi="宋体" w:hint="eastAsia"/>
          <w:szCs w:val="21"/>
        </w:rPr>
      </w:pPr>
    </w:p>
    <w:p w14:paraId="188D92AF" w14:textId="77777777" w:rsidR="00D51D8C" w:rsidRDefault="00000000">
      <w:pPr>
        <w:adjustRightInd w:val="0"/>
        <w:snapToGrid w:val="0"/>
        <w:spacing w:beforeLines="50" w:before="156" w:afterLines="50" w:after="156" w:line="360" w:lineRule="auto"/>
        <w:ind w:firstLineChars="0" w:firstLine="0"/>
        <w:rPr>
          <w:rFonts w:ascii="宋体" w:eastAsia="楷体_GB2312" w:hAnsi="宋体" w:hint="eastAsia"/>
          <w:sz w:val="72"/>
          <w:szCs w:val="72"/>
        </w:rPr>
      </w:pPr>
      <w:r>
        <w:rPr>
          <w:rFonts w:eastAsia="楷体_GB2312" w:hint="eastAsia"/>
          <w:sz w:val="72"/>
          <w:szCs w:val="72"/>
        </w:rPr>
        <w:t>中华人民共和国国家标准</w:t>
      </w:r>
    </w:p>
    <w:p w14:paraId="0A410A03" w14:textId="77777777" w:rsidR="00D51D8C" w:rsidRDefault="00D51D8C">
      <w:pPr>
        <w:adjustRightInd w:val="0"/>
        <w:snapToGrid w:val="0"/>
        <w:spacing w:beforeLines="50" w:before="156" w:afterLines="50" w:after="156" w:line="360" w:lineRule="auto"/>
        <w:ind w:firstLineChars="0" w:firstLine="0"/>
        <w:rPr>
          <w:rFonts w:ascii="宋体" w:hAnsi="宋体" w:hint="eastAsia"/>
          <w:szCs w:val="21"/>
        </w:rPr>
      </w:pPr>
    </w:p>
    <w:p w14:paraId="7C29BEAC" w14:textId="77777777" w:rsidR="00D51D8C" w:rsidRDefault="00D51D8C">
      <w:pPr>
        <w:adjustRightInd w:val="0"/>
        <w:snapToGrid w:val="0"/>
        <w:spacing w:beforeLines="50" w:before="156" w:afterLines="50" w:after="156" w:line="360" w:lineRule="auto"/>
        <w:ind w:firstLineChars="0" w:firstLine="0"/>
        <w:rPr>
          <w:rFonts w:ascii="宋体" w:hAnsi="宋体" w:hint="eastAsia"/>
          <w:szCs w:val="21"/>
        </w:rPr>
      </w:pPr>
    </w:p>
    <w:p w14:paraId="6884C56B" w14:textId="77777777" w:rsidR="00D51D8C" w:rsidRDefault="00D51D8C">
      <w:pPr>
        <w:adjustRightInd w:val="0"/>
        <w:snapToGrid w:val="0"/>
        <w:spacing w:beforeLines="50" w:before="156" w:afterLines="50" w:after="156" w:line="360" w:lineRule="auto"/>
        <w:ind w:firstLineChars="0" w:firstLine="0"/>
        <w:rPr>
          <w:rFonts w:ascii="宋体" w:hAnsi="宋体" w:hint="eastAsia"/>
          <w:szCs w:val="21"/>
        </w:rPr>
      </w:pPr>
    </w:p>
    <w:p w14:paraId="48967A4E" w14:textId="77777777" w:rsidR="00D51D8C"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48"/>
          <w:szCs w:val="48"/>
        </w:rPr>
      </w:pPr>
      <w:r>
        <w:rPr>
          <w:rFonts w:ascii="黑体" w:eastAsia="黑体" w:hAnsi="黑体" w:cs="黑体" w:hint="eastAsia"/>
          <w:sz w:val="48"/>
          <w:szCs w:val="48"/>
        </w:rPr>
        <w:t>分析仪器智能化系统</w:t>
      </w:r>
    </w:p>
    <w:p w14:paraId="4FDED368" w14:textId="77777777" w:rsidR="00D51D8C"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48"/>
          <w:szCs w:val="48"/>
        </w:rPr>
      </w:pPr>
      <w:r>
        <w:rPr>
          <w:rFonts w:ascii="黑体" w:eastAsia="黑体" w:hAnsi="黑体" w:cs="黑体" w:hint="eastAsia"/>
          <w:sz w:val="48"/>
          <w:szCs w:val="48"/>
        </w:rPr>
        <w:t>第</w:t>
      </w:r>
      <w:r>
        <w:rPr>
          <w:rFonts w:ascii="黑体" w:eastAsia="黑体" w:hAnsi="黑体" w:cs="黑体"/>
          <w:sz w:val="48"/>
          <w:szCs w:val="48"/>
        </w:rPr>
        <w:t>4</w:t>
      </w:r>
      <w:r>
        <w:rPr>
          <w:rFonts w:ascii="黑体" w:eastAsia="黑体" w:hAnsi="黑体" w:cs="黑体" w:hint="eastAsia"/>
          <w:sz w:val="48"/>
          <w:szCs w:val="48"/>
        </w:rPr>
        <w:t xml:space="preserve">部分 </w:t>
      </w:r>
      <w:r>
        <w:rPr>
          <w:rFonts w:ascii="黑体" w:eastAsia="黑体" w:hAnsi="黑体" w:cs="黑体"/>
          <w:sz w:val="48"/>
          <w:szCs w:val="48"/>
        </w:rPr>
        <w:t>固体</w:t>
      </w:r>
      <w:r>
        <w:rPr>
          <w:rFonts w:ascii="黑体" w:eastAsia="黑体" w:hAnsi="黑体" w:cs="黑体" w:hint="eastAsia"/>
          <w:sz w:val="48"/>
          <w:szCs w:val="48"/>
        </w:rPr>
        <w:t>检测系统技术规范</w:t>
      </w:r>
    </w:p>
    <w:p w14:paraId="32612B27" w14:textId="77777777" w:rsidR="00D51D8C"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52"/>
          <w:szCs w:val="52"/>
        </w:rPr>
      </w:pPr>
      <w:r>
        <w:rPr>
          <w:rFonts w:ascii="黑体" w:eastAsia="黑体" w:hAnsi="黑体" w:cs="黑体" w:hint="eastAsia"/>
          <w:sz w:val="52"/>
          <w:szCs w:val="52"/>
        </w:rPr>
        <w:t>编 制 说 明</w:t>
      </w:r>
    </w:p>
    <w:p w14:paraId="54C13FFF" w14:textId="77777777" w:rsidR="00D51D8C"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32"/>
          <w:szCs w:val="32"/>
        </w:rPr>
      </w:pPr>
      <w:r>
        <w:rPr>
          <w:rFonts w:ascii="黑体" w:eastAsia="黑体" w:hAnsi="黑体" w:cs="黑体" w:hint="eastAsia"/>
          <w:sz w:val="32"/>
          <w:szCs w:val="32"/>
        </w:rPr>
        <w:t>（</w:t>
      </w:r>
      <w:r>
        <w:rPr>
          <w:rFonts w:ascii="黑体" w:eastAsia="黑体" w:hAnsi="黑体" w:cs="黑体"/>
          <w:sz w:val="32"/>
          <w:szCs w:val="32"/>
        </w:rPr>
        <w:t>征求意见</w:t>
      </w:r>
      <w:r>
        <w:rPr>
          <w:rFonts w:ascii="黑体" w:eastAsia="黑体" w:hAnsi="黑体" w:cs="黑体" w:hint="eastAsia"/>
          <w:sz w:val="32"/>
          <w:szCs w:val="32"/>
        </w:rPr>
        <w:t>稿）</w:t>
      </w:r>
    </w:p>
    <w:p w14:paraId="14C108C2" w14:textId="77777777" w:rsidR="00D51D8C" w:rsidRDefault="00D51D8C">
      <w:pPr>
        <w:adjustRightInd w:val="0"/>
        <w:snapToGrid w:val="0"/>
        <w:spacing w:beforeLines="50" w:before="156" w:afterLines="50" w:after="156" w:line="360" w:lineRule="auto"/>
        <w:ind w:firstLine="780"/>
        <w:jc w:val="center"/>
        <w:rPr>
          <w:rFonts w:ascii="宋体" w:hAnsi="宋体" w:hint="eastAsia"/>
          <w:sz w:val="52"/>
          <w:szCs w:val="52"/>
        </w:rPr>
      </w:pPr>
    </w:p>
    <w:p w14:paraId="4C79BC43" w14:textId="77777777" w:rsidR="00D51D8C" w:rsidRDefault="00D51D8C">
      <w:pPr>
        <w:adjustRightInd w:val="0"/>
        <w:snapToGrid w:val="0"/>
        <w:spacing w:beforeLines="50" w:before="156" w:afterLines="50" w:after="156" w:line="360" w:lineRule="auto"/>
        <w:ind w:firstLine="780"/>
        <w:jc w:val="center"/>
        <w:rPr>
          <w:rFonts w:ascii="宋体" w:hAnsi="宋体" w:hint="eastAsia"/>
          <w:sz w:val="52"/>
          <w:szCs w:val="52"/>
        </w:rPr>
      </w:pPr>
    </w:p>
    <w:p w14:paraId="7538429C" w14:textId="77777777" w:rsidR="00D51D8C"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《分析仪器智能化系统》起草工作组</w:t>
      </w:r>
    </w:p>
    <w:p w14:paraId="0A604692" w14:textId="77777777" w:rsidR="00D51D8C"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二零二六年</w:t>
      </w:r>
      <w:r>
        <w:rPr>
          <w:rFonts w:ascii="黑体" w:eastAsia="黑体" w:hAnsi="黑体" w:cs="黑体"/>
          <w:sz w:val="32"/>
          <w:szCs w:val="32"/>
        </w:rPr>
        <w:t>六</w:t>
      </w:r>
      <w:r>
        <w:rPr>
          <w:rFonts w:ascii="黑体" w:eastAsia="黑体" w:hAnsi="黑体" w:cs="黑体" w:hint="eastAsia"/>
          <w:sz w:val="32"/>
          <w:szCs w:val="32"/>
        </w:rPr>
        <w:t>月十</w:t>
      </w:r>
      <w:r>
        <w:rPr>
          <w:rFonts w:ascii="黑体" w:eastAsia="黑体" w:hAnsi="黑体" w:cs="黑体"/>
          <w:sz w:val="32"/>
          <w:szCs w:val="32"/>
        </w:rPr>
        <w:t>六</w:t>
      </w:r>
      <w:r>
        <w:rPr>
          <w:rFonts w:ascii="黑体" w:eastAsia="黑体" w:hAnsi="黑体" w:cs="黑体" w:hint="eastAsia"/>
          <w:sz w:val="32"/>
          <w:szCs w:val="32"/>
        </w:rPr>
        <w:t>日</w:t>
      </w:r>
    </w:p>
    <w:p w14:paraId="2A801819" w14:textId="77777777" w:rsidR="00D51D8C" w:rsidRDefault="00D51D8C">
      <w:pPr>
        <w:adjustRightInd w:val="0"/>
        <w:snapToGrid w:val="0"/>
        <w:spacing w:beforeLines="50" w:before="156" w:afterLines="50" w:after="156" w:line="360" w:lineRule="auto"/>
        <w:ind w:firstLine="480"/>
        <w:jc w:val="center"/>
        <w:rPr>
          <w:rFonts w:ascii="黑体" w:eastAsia="黑体" w:hAnsi="黑体" w:cs="黑体" w:hint="eastAsia"/>
          <w:sz w:val="32"/>
          <w:szCs w:val="32"/>
        </w:rPr>
        <w:sectPr w:rsidR="00D51D8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14:paraId="647A7E43"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bookmarkStart w:id="0" w:name="_Toc12203"/>
      <w:r>
        <w:rPr>
          <w:rFonts w:ascii="黑体" w:eastAsia="黑体" w:hAnsi="黑体" w:cs="黑体" w:hint="eastAsia"/>
          <w:sz w:val="28"/>
          <w:szCs w:val="28"/>
        </w:rPr>
        <w:lastRenderedPageBreak/>
        <w:t>1  工作简况</w:t>
      </w:r>
      <w:bookmarkEnd w:id="0"/>
    </w:p>
    <w:p w14:paraId="4A4AB39F" w14:textId="77777777" w:rsidR="00D51D8C" w:rsidRDefault="00000000">
      <w:pPr>
        <w:spacing w:line="360" w:lineRule="auto"/>
        <w:ind w:firstLineChars="0" w:firstLine="0"/>
        <w:outlineLvl w:val="1"/>
        <w:rPr>
          <w:rFonts w:ascii="黑体" w:eastAsia="黑体" w:hAnsi="黑体" w:cs="黑体" w:hint="eastAsia"/>
          <w:sz w:val="28"/>
          <w:szCs w:val="28"/>
        </w:rPr>
      </w:pPr>
      <w:bookmarkStart w:id="1" w:name="_Toc26510"/>
      <w:r>
        <w:rPr>
          <w:rFonts w:ascii="黑体" w:eastAsia="黑体" w:hAnsi="黑体" w:cs="黑体" w:hint="eastAsia"/>
          <w:sz w:val="28"/>
          <w:szCs w:val="28"/>
        </w:rPr>
        <w:t>1.1 任务来源</w:t>
      </w:r>
      <w:bookmarkEnd w:id="1"/>
    </w:p>
    <w:p w14:paraId="2ED9A817" w14:textId="77777777" w:rsidR="00D51D8C" w:rsidRDefault="00000000">
      <w:pPr>
        <w:spacing w:line="360" w:lineRule="auto"/>
        <w:ind w:firstLineChars="200" w:firstLine="480"/>
        <w:rPr>
          <w:sz w:val="24"/>
          <w:szCs w:val="24"/>
        </w:rPr>
      </w:pPr>
      <w:r>
        <w:rPr>
          <w:rFonts w:hint="eastAsia"/>
          <w:sz w:val="24"/>
          <w:szCs w:val="24"/>
        </w:rPr>
        <w:t>根据全国工业过程测量控制和自动化标准化技术委员会“关于成立《分析仪器</w:t>
      </w:r>
      <w:r>
        <w:rPr>
          <w:rFonts w:hint="eastAsia"/>
          <w:sz w:val="24"/>
          <w:szCs w:val="24"/>
        </w:rPr>
        <w:t xml:space="preserve"> </w:t>
      </w:r>
      <w:r>
        <w:rPr>
          <w:rFonts w:hint="eastAsia"/>
          <w:sz w:val="24"/>
          <w:szCs w:val="24"/>
        </w:rPr>
        <w:t>智能化系统》系列国家标准指导性技术文件起草工作组的通知”（</w:t>
      </w:r>
      <w:r>
        <w:rPr>
          <w:rFonts w:hint="eastAsia"/>
          <w:sz w:val="24"/>
          <w:szCs w:val="24"/>
        </w:rPr>
        <w:t>SAC/TC124/SC6 4152/2025-11-05</w:t>
      </w:r>
      <w:r>
        <w:rPr>
          <w:rFonts w:hint="eastAsia"/>
          <w:sz w:val="24"/>
          <w:szCs w:val="24"/>
        </w:rPr>
        <w:t>），其中《分析仪器</w:t>
      </w:r>
      <w:r>
        <w:rPr>
          <w:rFonts w:hint="eastAsia"/>
          <w:sz w:val="24"/>
          <w:szCs w:val="24"/>
        </w:rPr>
        <w:t xml:space="preserve"> </w:t>
      </w:r>
      <w:r>
        <w:rPr>
          <w:rFonts w:hint="eastAsia"/>
          <w:sz w:val="24"/>
          <w:szCs w:val="24"/>
        </w:rPr>
        <w:t>智能化系统</w:t>
      </w:r>
      <w:r>
        <w:rPr>
          <w:rFonts w:hint="eastAsia"/>
          <w:sz w:val="24"/>
          <w:szCs w:val="24"/>
        </w:rPr>
        <w:t xml:space="preserve"> </w:t>
      </w:r>
      <w:r>
        <w:rPr>
          <w:rFonts w:hint="eastAsia"/>
          <w:sz w:val="24"/>
          <w:szCs w:val="24"/>
        </w:rPr>
        <w:t>第</w:t>
      </w:r>
      <w:r>
        <w:rPr>
          <w:sz w:val="24"/>
          <w:szCs w:val="24"/>
        </w:rPr>
        <w:t>4</w:t>
      </w:r>
      <w:r>
        <w:rPr>
          <w:rFonts w:hint="eastAsia"/>
          <w:sz w:val="24"/>
          <w:szCs w:val="24"/>
        </w:rPr>
        <w:t>部分：水</w:t>
      </w:r>
      <w:r>
        <w:rPr>
          <w:sz w:val="24"/>
          <w:szCs w:val="24"/>
        </w:rPr>
        <w:t>固体</w:t>
      </w:r>
      <w:r>
        <w:rPr>
          <w:rFonts w:hint="eastAsia"/>
          <w:sz w:val="24"/>
          <w:szCs w:val="24"/>
        </w:rPr>
        <w:t>检测系统技术规范》（项目编号为</w:t>
      </w:r>
      <w:r>
        <w:rPr>
          <w:rFonts w:hint="eastAsia"/>
          <w:sz w:val="24"/>
          <w:szCs w:val="24"/>
        </w:rPr>
        <w:t>2025552</w:t>
      </w:r>
      <w:r>
        <w:rPr>
          <w:sz w:val="24"/>
          <w:szCs w:val="24"/>
        </w:rPr>
        <w:t>3</w:t>
      </w:r>
      <w:r>
        <w:rPr>
          <w:rFonts w:hint="eastAsia"/>
          <w:sz w:val="24"/>
          <w:szCs w:val="24"/>
        </w:rPr>
        <w:t>-Z-604</w:t>
      </w:r>
      <w:r>
        <w:rPr>
          <w:rFonts w:hint="eastAsia"/>
          <w:sz w:val="24"/>
          <w:szCs w:val="24"/>
        </w:rPr>
        <w:t>）。本项目的主管单位中国机械工业联合会，技术归口单位为全国工业过程测量控制和自动化标准化技术委员会分析仪器分技术委员会（</w:t>
      </w:r>
      <w:r>
        <w:rPr>
          <w:rFonts w:hint="eastAsia"/>
          <w:sz w:val="24"/>
          <w:szCs w:val="24"/>
        </w:rPr>
        <w:t>SAC/TC124/SC6</w:t>
      </w:r>
      <w:r>
        <w:rPr>
          <w:rFonts w:hint="eastAsia"/>
          <w:sz w:val="24"/>
          <w:szCs w:val="24"/>
        </w:rPr>
        <w:t>）。牵头起草单位为：</w:t>
      </w:r>
      <w:r>
        <w:rPr>
          <w:sz w:val="24"/>
          <w:szCs w:val="24"/>
        </w:rPr>
        <w:t>北京兰友科技</w:t>
      </w:r>
      <w:r>
        <w:rPr>
          <w:rFonts w:hint="eastAsia"/>
          <w:sz w:val="24"/>
          <w:szCs w:val="24"/>
        </w:rPr>
        <w:t>有限公司。计划完成年限为</w:t>
      </w:r>
      <w:r>
        <w:rPr>
          <w:rFonts w:hint="eastAsia"/>
          <w:sz w:val="24"/>
          <w:szCs w:val="24"/>
        </w:rPr>
        <w:t>2026</w:t>
      </w:r>
      <w:r>
        <w:rPr>
          <w:rFonts w:hint="eastAsia"/>
          <w:sz w:val="24"/>
          <w:szCs w:val="24"/>
        </w:rPr>
        <w:t>年。</w:t>
      </w:r>
    </w:p>
    <w:p w14:paraId="6F123F36" w14:textId="77777777" w:rsidR="00D51D8C" w:rsidRDefault="00000000">
      <w:pPr>
        <w:spacing w:line="360" w:lineRule="auto"/>
        <w:ind w:firstLineChars="0" w:firstLine="0"/>
        <w:outlineLvl w:val="1"/>
        <w:rPr>
          <w:rFonts w:ascii="黑体" w:eastAsia="黑体" w:hAnsi="黑体" w:cs="黑体" w:hint="eastAsia"/>
          <w:sz w:val="28"/>
          <w:szCs w:val="28"/>
        </w:rPr>
      </w:pPr>
      <w:r>
        <w:rPr>
          <w:rFonts w:ascii="黑体" w:eastAsia="黑体" w:hAnsi="黑体" w:cs="黑体" w:hint="eastAsia"/>
          <w:sz w:val="28"/>
          <w:szCs w:val="28"/>
        </w:rPr>
        <w:t>1.2 制定背景</w:t>
      </w:r>
    </w:p>
    <w:p w14:paraId="2A0FF80C" w14:textId="77777777" w:rsidR="00D51D8C" w:rsidRDefault="00000000">
      <w:pPr>
        <w:spacing w:line="360" w:lineRule="auto"/>
        <w:ind w:firstLineChars="200" w:firstLine="480"/>
        <w:rPr>
          <w:sz w:val="24"/>
          <w:szCs w:val="24"/>
        </w:rPr>
      </w:pPr>
      <w:r>
        <w:rPr>
          <w:rFonts w:hint="eastAsia"/>
          <w:sz w:val="24"/>
          <w:szCs w:val="24"/>
        </w:rPr>
        <w:t>近年来</w:t>
      </w:r>
      <w:r>
        <w:rPr>
          <w:rFonts w:hint="eastAsia"/>
          <w:sz w:val="24"/>
          <w:szCs w:val="24"/>
        </w:rPr>
        <w:t>,</w:t>
      </w:r>
      <w:r>
        <w:rPr>
          <w:rFonts w:hint="eastAsia"/>
          <w:sz w:val="24"/>
          <w:szCs w:val="24"/>
        </w:rPr>
        <w:t>我国分析仪器应用智能化方向快速发展</w:t>
      </w:r>
      <w:r>
        <w:rPr>
          <w:rFonts w:hint="eastAsia"/>
          <w:sz w:val="24"/>
          <w:szCs w:val="24"/>
        </w:rPr>
        <w:t>,</w:t>
      </w:r>
      <w:r>
        <w:rPr>
          <w:rFonts w:hint="eastAsia"/>
          <w:sz w:val="24"/>
          <w:szCs w:val="24"/>
        </w:rPr>
        <w:t>“黑灯实验室”的概念已在生态环保、地质地矿、石油化工、食品药品等固体分析领域多见报道及应用，但目前国内外尚未形成针对固体检测智能化系统的专项技术标准，相关方对智能化程度、技术要求的评价缺乏统一依据。为提高固体样品检测智能化系统的安全性、可靠性和稳定性</w:t>
      </w:r>
      <w:r>
        <w:rPr>
          <w:rFonts w:hint="eastAsia"/>
          <w:sz w:val="24"/>
          <w:szCs w:val="24"/>
        </w:rPr>
        <w:t>,</w:t>
      </w:r>
      <w:r>
        <w:rPr>
          <w:rFonts w:hint="eastAsia"/>
          <w:sz w:val="24"/>
          <w:szCs w:val="24"/>
        </w:rPr>
        <w:t>并为固体检测智能化系统的生产、检验和使用等工作提供标准技术依据</w:t>
      </w:r>
      <w:r>
        <w:rPr>
          <w:rFonts w:hint="eastAsia"/>
          <w:sz w:val="24"/>
          <w:szCs w:val="24"/>
        </w:rPr>
        <w:t>,</w:t>
      </w:r>
      <w:r>
        <w:rPr>
          <w:rFonts w:hint="eastAsia"/>
          <w:sz w:val="24"/>
          <w:szCs w:val="24"/>
        </w:rPr>
        <w:t>亟需加快研制</w:t>
      </w:r>
      <w:r>
        <w:rPr>
          <w:rFonts w:hint="eastAsia"/>
          <w:sz w:val="24"/>
          <w:szCs w:val="24"/>
        </w:rPr>
        <w:t xml:space="preserve"> GB/Z XXXXX</w:t>
      </w:r>
      <w:r>
        <w:rPr>
          <w:rFonts w:hint="eastAsia"/>
          <w:sz w:val="24"/>
          <w:szCs w:val="24"/>
        </w:rPr>
        <w:t>《分析仪器智能化系统》。</w:t>
      </w:r>
      <w:r>
        <w:rPr>
          <w:rFonts w:hint="eastAsia"/>
          <w:sz w:val="24"/>
          <w:szCs w:val="24"/>
        </w:rPr>
        <w:t xml:space="preserve"> </w:t>
      </w:r>
    </w:p>
    <w:p w14:paraId="41ABC0E5" w14:textId="77777777" w:rsidR="00D51D8C" w:rsidRDefault="00000000">
      <w:pPr>
        <w:spacing w:line="360" w:lineRule="auto"/>
        <w:ind w:firstLineChars="200" w:firstLine="480"/>
        <w:rPr>
          <w:sz w:val="24"/>
          <w:szCs w:val="24"/>
        </w:rPr>
      </w:pPr>
      <w:r>
        <w:rPr>
          <w:sz w:val="24"/>
          <w:szCs w:val="24"/>
        </w:rPr>
        <w:t>GB/T</w:t>
      </w:r>
      <w:r>
        <w:rPr>
          <w:rFonts w:hint="eastAsia"/>
          <w:sz w:val="24"/>
          <w:szCs w:val="24"/>
        </w:rPr>
        <w:t xml:space="preserve"> 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sz w:val="24"/>
          <w:szCs w:val="24"/>
        </w:rPr>
        <w:t>4</w:t>
      </w:r>
      <w:r>
        <w:rPr>
          <w:rFonts w:hint="eastAsia"/>
          <w:sz w:val="24"/>
          <w:szCs w:val="24"/>
        </w:rPr>
        <w:t>部分：</w:t>
      </w:r>
      <w:r>
        <w:rPr>
          <w:sz w:val="24"/>
          <w:szCs w:val="24"/>
        </w:rPr>
        <w:t>固体</w:t>
      </w:r>
      <w:r>
        <w:rPr>
          <w:rFonts w:hint="eastAsia"/>
          <w:sz w:val="24"/>
          <w:szCs w:val="24"/>
        </w:rPr>
        <w:t>检测系统技术规范</w:t>
      </w:r>
      <w:r>
        <w:rPr>
          <w:sz w:val="24"/>
          <w:szCs w:val="24"/>
        </w:rPr>
        <w:t>》旨在界定或规范</w:t>
      </w:r>
      <w:r>
        <w:rPr>
          <w:rFonts w:hint="eastAsia"/>
          <w:sz w:val="24"/>
          <w:szCs w:val="24"/>
        </w:rPr>
        <w:t>分析仪器</w:t>
      </w:r>
      <w:r>
        <w:rPr>
          <w:sz w:val="24"/>
          <w:szCs w:val="24"/>
        </w:rPr>
        <w:t>智能化系统</w:t>
      </w:r>
      <w:r>
        <w:rPr>
          <w:rFonts w:hint="eastAsia"/>
          <w:sz w:val="24"/>
          <w:szCs w:val="24"/>
        </w:rPr>
        <w:t>中</w:t>
      </w:r>
      <w:r>
        <w:rPr>
          <w:sz w:val="24"/>
          <w:szCs w:val="24"/>
        </w:rPr>
        <w:t>固体检测</w:t>
      </w:r>
      <w:r>
        <w:rPr>
          <w:rFonts w:hint="eastAsia"/>
          <w:sz w:val="24"/>
          <w:szCs w:val="24"/>
        </w:rPr>
        <w:t>系统技术规范</w:t>
      </w:r>
      <w:r>
        <w:rPr>
          <w:sz w:val="24"/>
          <w:szCs w:val="24"/>
        </w:rPr>
        <w:t>等内容。标准的制定</w:t>
      </w:r>
      <w:r>
        <w:rPr>
          <w:sz w:val="24"/>
          <w:szCs w:val="24"/>
        </w:rPr>
        <w:t>,</w:t>
      </w:r>
      <w:r>
        <w:rPr>
          <w:sz w:val="24"/>
          <w:szCs w:val="24"/>
        </w:rPr>
        <w:t>对促进</w:t>
      </w:r>
      <w:r>
        <w:rPr>
          <w:rFonts w:hint="eastAsia"/>
          <w:sz w:val="24"/>
          <w:szCs w:val="24"/>
        </w:rPr>
        <w:t>分析仪器</w:t>
      </w:r>
      <w:r>
        <w:rPr>
          <w:sz w:val="24"/>
          <w:szCs w:val="24"/>
        </w:rPr>
        <w:t>在保证安全的前提下向智能化方向转型升级</w:t>
      </w:r>
      <w:r>
        <w:rPr>
          <w:rFonts w:hint="eastAsia"/>
          <w:sz w:val="24"/>
          <w:szCs w:val="24"/>
        </w:rPr>
        <w:t>，</w:t>
      </w:r>
      <w:r>
        <w:rPr>
          <w:sz w:val="24"/>
          <w:szCs w:val="24"/>
        </w:rPr>
        <w:t>支撑</w:t>
      </w:r>
      <w:r>
        <w:rPr>
          <w:rFonts w:hint="eastAsia"/>
          <w:sz w:val="24"/>
          <w:szCs w:val="24"/>
        </w:rPr>
        <w:t>分析仪器</w:t>
      </w:r>
      <w:r>
        <w:rPr>
          <w:sz w:val="24"/>
          <w:szCs w:val="24"/>
        </w:rPr>
        <w:t>行业高质量发展</w:t>
      </w:r>
      <w:r>
        <w:rPr>
          <w:rFonts w:hint="eastAsia"/>
          <w:sz w:val="24"/>
          <w:szCs w:val="24"/>
        </w:rPr>
        <w:t>，</w:t>
      </w:r>
      <w:r>
        <w:rPr>
          <w:sz w:val="24"/>
          <w:szCs w:val="24"/>
        </w:rPr>
        <w:t>具有重要意义。</w:t>
      </w:r>
    </w:p>
    <w:p w14:paraId="7513F78A" w14:textId="77777777" w:rsidR="00D51D8C" w:rsidRDefault="00000000">
      <w:pPr>
        <w:spacing w:line="360" w:lineRule="auto"/>
        <w:ind w:firstLineChars="200" w:firstLine="480"/>
        <w:rPr>
          <w:sz w:val="24"/>
          <w:szCs w:val="24"/>
        </w:rPr>
      </w:pPr>
      <w:r>
        <w:rPr>
          <w:rFonts w:hint="eastAsia"/>
          <w:sz w:val="24"/>
          <w:szCs w:val="24"/>
        </w:rPr>
        <w:t>一方面，该标准的制定能为分析仪器制造商提供明确的生产指引。制造商可以依据标准中对于智能化系统的术语定义和分级要求，规范产品的设计与制造流程，避免因缺乏标准而导致的产品质量参差不齐的问题。这有助于提高产品的整体质量和性能，增强企业在市场中的竞争力。</w:t>
      </w:r>
    </w:p>
    <w:p w14:paraId="1A0C6DFC" w14:textId="77777777" w:rsidR="00D51D8C" w:rsidRDefault="00000000">
      <w:pPr>
        <w:spacing w:line="360" w:lineRule="auto"/>
        <w:ind w:firstLineChars="200" w:firstLine="480"/>
        <w:rPr>
          <w:sz w:val="24"/>
          <w:szCs w:val="24"/>
        </w:rPr>
      </w:pPr>
      <w:r>
        <w:rPr>
          <w:rFonts w:hint="eastAsia"/>
          <w:sz w:val="24"/>
          <w:szCs w:val="24"/>
        </w:rPr>
        <w:t>另一方面，对于用户来说，标准的出台能让他们在选择分析仪器时，有更清晰的参考依据。用户可以根据标准中对智能化程度的分级，准确判断产品是否符合自身的需求，从而做出更合理的采购决策。同时，标准也能保障用户在使用过程中的权益，确保产品的安全性、可靠性和稳定性。</w:t>
      </w:r>
    </w:p>
    <w:p w14:paraId="69E411F8" w14:textId="77777777" w:rsidR="00D51D8C" w:rsidRDefault="00000000">
      <w:pPr>
        <w:spacing w:line="360" w:lineRule="auto"/>
        <w:ind w:firstLineChars="200" w:firstLine="480"/>
        <w:rPr>
          <w:sz w:val="24"/>
          <w:szCs w:val="24"/>
        </w:rPr>
      </w:pPr>
      <w:r>
        <w:rPr>
          <w:rFonts w:hint="eastAsia"/>
          <w:sz w:val="24"/>
          <w:szCs w:val="24"/>
        </w:rPr>
        <w:lastRenderedPageBreak/>
        <w:t>对于检验机构和监管部门而言，</w:t>
      </w:r>
      <w:r>
        <w:rPr>
          <w:rFonts w:hint="eastAsia"/>
          <w:sz w:val="24"/>
          <w:szCs w:val="24"/>
        </w:rPr>
        <w:t>GB/T XXXXX</w:t>
      </w:r>
      <w:r>
        <w:rPr>
          <w:sz w:val="24"/>
          <w:szCs w:val="24"/>
        </w:rPr>
        <w:t>《</w:t>
      </w:r>
      <w:r>
        <w:rPr>
          <w:rFonts w:hint="eastAsia"/>
          <w:sz w:val="24"/>
          <w:szCs w:val="24"/>
        </w:rPr>
        <w:t>分析仪器</w:t>
      </w:r>
      <w:r>
        <w:rPr>
          <w:sz w:val="24"/>
          <w:szCs w:val="24"/>
        </w:rPr>
        <w:t>智能化系统</w:t>
      </w:r>
      <w:r>
        <w:rPr>
          <w:rFonts w:hint="eastAsia"/>
          <w:sz w:val="24"/>
          <w:szCs w:val="24"/>
        </w:rPr>
        <w:t xml:space="preserve"> </w:t>
      </w:r>
      <w:r>
        <w:rPr>
          <w:rFonts w:hint="eastAsia"/>
          <w:sz w:val="24"/>
          <w:szCs w:val="24"/>
        </w:rPr>
        <w:t>第</w:t>
      </w:r>
      <w:r>
        <w:rPr>
          <w:sz w:val="24"/>
          <w:szCs w:val="24"/>
        </w:rPr>
        <w:t xml:space="preserve"> 4</w:t>
      </w:r>
      <w:r>
        <w:rPr>
          <w:rFonts w:hint="eastAsia"/>
          <w:sz w:val="24"/>
          <w:szCs w:val="24"/>
        </w:rPr>
        <w:t xml:space="preserve"> </w:t>
      </w:r>
      <w:r>
        <w:rPr>
          <w:sz w:val="24"/>
          <w:szCs w:val="24"/>
        </w:rPr>
        <w:t xml:space="preserve"> </w:t>
      </w:r>
      <w:r>
        <w:rPr>
          <w:rFonts w:hint="eastAsia"/>
          <w:sz w:val="24"/>
          <w:szCs w:val="24"/>
        </w:rPr>
        <w:t>部分：</w:t>
      </w:r>
      <w:r>
        <w:rPr>
          <w:sz w:val="24"/>
          <w:szCs w:val="24"/>
        </w:rPr>
        <w:t>固体检测</w:t>
      </w:r>
      <w:r>
        <w:rPr>
          <w:rFonts w:hint="eastAsia"/>
          <w:sz w:val="24"/>
          <w:szCs w:val="24"/>
        </w:rPr>
        <w:t>系统技术规范</w:t>
      </w:r>
      <w:r>
        <w:rPr>
          <w:sz w:val="24"/>
          <w:szCs w:val="24"/>
        </w:rPr>
        <w:t>》</w:t>
      </w:r>
      <w:r>
        <w:rPr>
          <w:rFonts w:hint="eastAsia"/>
          <w:sz w:val="24"/>
          <w:szCs w:val="24"/>
        </w:rPr>
        <w:t>标准为他们的工作提供了有力的技术支撑。检验机构可以依据标准对分析仪器智能化系统进行科学、准确的检测和评估，监管部门也能够依据标准对市场上的产品进行有效的监管，规范市场秩序，推动分析仪器行业的健康发展。</w:t>
      </w:r>
    </w:p>
    <w:p w14:paraId="6D92447D" w14:textId="77777777" w:rsidR="00D51D8C" w:rsidRDefault="00000000">
      <w:pPr>
        <w:spacing w:line="360" w:lineRule="auto"/>
        <w:ind w:firstLineChars="200" w:firstLine="480"/>
        <w:rPr>
          <w:sz w:val="24"/>
          <w:szCs w:val="24"/>
        </w:rPr>
      </w:pPr>
      <w:r>
        <w:rPr>
          <w:rFonts w:hint="eastAsia"/>
          <w:sz w:val="24"/>
          <w:szCs w:val="24"/>
        </w:rPr>
        <w:t>此外，随着全球科技的不断进步和分析仪器应用领域的不断拓展，制定这样的标准也有助于我国分析仪器行业与国际接轨。通过规范</w:t>
      </w:r>
      <w:r>
        <w:rPr>
          <w:sz w:val="24"/>
          <w:szCs w:val="24"/>
        </w:rPr>
        <w:t>固体检测</w:t>
      </w:r>
      <w:r>
        <w:rPr>
          <w:rFonts w:hint="eastAsia"/>
          <w:sz w:val="24"/>
          <w:szCs w:val="24"/>
        </w:rPr>
        <w:t>系统技术要求，能够促进国际间的技术交流与合作，提升我国分析仪器在国际市场上的地位。</w:t>
      </w:r>
      <w:r>
        <w:rPr>
          <w:rFonts w:hint="eastAsia"/>
          <w:sz w:val="24"/>
          <w:szCs w:val="24"/>
        </w:rPr>
        <w:t xml:space="preserve"> </w:t>
      </w:r>
    </w:p>
    <w:p w14:paraId="1F5A50BF" w14:textId="77777777" w:rsidR="00D51D8C" w:rsidRDefault="00000000">
      <w:pPr>
        <w:spacing w:line="360" w:lineRule="auto"/>
        <w:ind w:firstLineChars="0" w:firstLine="0"/>
        <w:outlineLvl w:val="1"/>
        <w:rPr>
          <w:rFonts w:ascii="黑体" w:eastAsia="黑体" w:hAnsi="黑体" w:cs="黑体" w:hint="eastAsia"/>
          <w:sz w:val="28"/>
          <w:szCs w:val="28"/>
        </w:rPr>
      </w:pPr>
      <w:bookmarkStart w:id="2" w:name="_Toc6070"/>
      <w:r>
        <w:rPr>
          <w:rFonts w:ascii="黑体" w:eastAsia="黑体" w:hAnsi="黑体" w:cs="黑体" w:hint="eastAsia"/>
          <w:sz w:val="28"/>
          <w:szCs w:val="28"/>
        </w:rPr>
        <w:t>1.3 主要工作过程</w:t>
      </w:r>
      <w:bookmarkEnd w:id="2"/>
    </w:p>
    <w:p w14:paraId="66D86110" w14:textId="77777777" w:rsidR="00D51D8C" w:rsidRDefault="00000000">
      <w:pPr>
        <w:spacing w:line="360" w:lineRule="auto"/>
        <w:ind w:firstLineChars="0" w:firstLine="0"/>
        <w:rPr>
          <w:sz w:val="24"/>
          <w:szCs w:val="24"/>
        </w:rPr>
      </w:pPr>
      <w:r>
        <w:rPr>
          <w:rFonts w:hint="eastAsia"/>
          <w:sz w:val="24"/>
          <w:szCs w:val="24"/>
        </w:rPr>
        <w:t>1</w:t>
      </w:r>
      <w:r>
        <w:rPr>
          <w:rFonts w:hint="eastAsia"/>
          <w:sz w:val="24"/>
          <w:szCs w:val="24"/>
        </w:rPr>
        <w:t>）成立标准编制工作组</w:t>
      </w:r>
    </w:p>
    <w:p w14:paraId="16108D10" w14:textId="77777777" w:rsidR="00D51D8C" w:rsidRDefault="00000000">
      <w:pPr>
        <w:spacing w:line="360" w:lineRule="auto"/>
        <w:ind w:firstLineChars="200" w:firstLine="480"/>
        <w:rPr>
          <w:sz w:val="24"/>
          <w:szCs w:val="24"/>
        </w:rPr>
      </w:pPr>
      <w:r>
        <w:rPr>
          <w:rFonts w:hint="eastAsia"/>
          <w:sz w:val="24"/>
          <w:szCs w:val="24"/>
        </w:rPr>
        <w:t>2024</w:t>
      </w:r>
      <w:r>
        <w:rPr>
          <w:rFonts w:hint="eastAsia"/>
          <w:sz w:val="24"/>
          <w:szCs w:val="24"/>
        </w:rPr>
        <w:t>年</w:t>
      </w:r>
      <w:r>
        <w:rPr>
          <w:rFonts w:hint="eastAsia"/>
          <w:sz w:val="24"/>
          <w:szCs w:val="24"/>
        </w:rPr>
        <w:t>11</w:t>
      </w:r>
      <w:r>
        <w:rPr>
          <w:rFonts w:hint="eastAsia"/>
          <w:sz w:val="24"/>
          <w:szCs w:val="24"/>
        </w:rPr>
        <w:t>月，成立了国家标准起草工作组。</w:t>
      </w:r>
    </w:p>
    <w:p w14:paraId="14006805" w14:textId="77777777" w:rsidR="00D51D8C" w:rsidRDefault="00000000">
      <w:pPr>
        <w:spacing w:line="360" w:lineRule="auto"/>
        <w:ind w:firstLineChars="200" w:firstLine="480"/>
        <w:rPr>
          <w:sz w:val="24"/>
          <w:szCs w:val="24"/>
        </w:rPr>
      </w:pPr>
      <w:r>
        <w:rPr>
          <w:rFonts w:hint="eastAsia"/>
          <w:sz w:val="24"/>
          <w:szCs w:val="24"/>
        </w:rPr>
        <w:t>参与起草的单位有：</w:t>
      </w:r>
      <w:r>
        <w:rPr>
          <w:sz w:val="24"/>
          <w:szCs w:val="24"/>
        </w:rPr>
        <w:t>北京兰友科技</w:t>
      </w:r>
      <w:r>
        <w:rPr>
          <w:rFonts w:hint="eastAsia"/>
          <w:sz w:val="24"/>
          <w:szCs w:val="24"/>
        </w:rPr>
        <w:t>有限公司、</w:t>
      </w:r>
      <w:r>
        <w:rPr>
          <w:rFonts w:hint="eastAsia"/>
          <w:sz w:val="24"/>
          <w:szCs w:val="24"/>
        </w:rPr>
        <w:t xml:space="preserve">     </w:t>
      </w:r>
      <w:r>
        <w:rPr>
          <w:rFonts w:hint="eastAsia"/>
          <w:sz w:val="24"/>
          <w:szCs w:val="24"/>
        </w:rPr>
        <w:t>等。</w:t>
      </w:r>
    </w:p>
    <w:p w14:paraId="6EA34D0C" w14:textId="77777777" w:rsidR="00D51D8C" w:rsidRDefault="00000000">
      <w:pPr>
        <w:spacing w:line="360" w:lineRule="auto"/>
        <w:ind w:firstLineChars="0" w:firstLine="0"/>
        <w:rPr>
          <w:sz w:val="24"/>
          <w:szCs w:val="24"/>
        </w:rPr>
      </w:pPr>
      <w:r>
        <w:rPr>
          <w:rFonts w:hint="eastAsia"/>
          <w:sz w:val="24"/>
          <w:szCs w:val="24"/>
        </w:rPr>
        <w:t>2</w:t>
      </w:r>
      <w:r>
        <w:rPr>
          <w:rFonts w:hint="eastAsia"/>
          <w:sz w:val="24"/>
          <w:szCs w:val="24"/>
        </w:rPr>
        <w:t>）编制工作调研及资料收集</w:t>
      </w:r>
    </w:p>
    <w:p w14:paraId="09CFBF45" w14:textId="77777777" w:rsidR="00D51D8C" w:rsidRDefault="00000000">
      <w:pPr>
        <w:spacing w:line="360" w:lineRule="auto"/>
        <w:ind w:firstLineChars="200" w:firstLine="480"/>
        <w:rPr>
          <w:sz w:val="24"/>
          <w:szCs w:val="24"/>
        </w:rPr>
      </w:pPr>
      <w:r>
        <w:rPr>
          <w:rFonts w:hint="eastAsia"/>
          <w:sz w:val="24"/>
          <w:szCs w:val="24"/>
        </w:rPr>
        <w:t>在检索、查询和收集国内外相关标准和文献资料，征集起草单位，经讨论、分析、比较，初步确定文件修订的原则和技术路线，形成本文件工作组讨论稿。</w:t>
      </w:r>
    </w:p>
    <w:p w14:paraId="01E981ED" w14:textId="77777777" w:rsidR="00D51D8C" w:rsidRDefault="00000000">
      <w:pPr>
        <w:spacing w:line="360" w:lineRule="auto"/>
        <w:ind w:firstLineChars="0" w:firstLine="0"/>
        <w:rPr>
          <w:sz w:val="24"/>
          <w:szCs w:val="24"/>
        </w:rPr>
      </w:pPr>
      <w:r>
        <w:rPr>
          <w:rFonts w:hint="eastAsia"/>
          <w:sz w:val="24"/>
          <w:szCs w:val="24"/>
        </w:rPr>
        <w:t>3</w:t>
      </w:r>
      <w:r>
        <w:rPr>
          <w:rFonts w:hint="eastAsia"/>
          <w:sz w:val="24"/>
          <w:szCs w:val="24"/>
        </w:rPr>
        <w:t>）工作组会议</w:t>
      </w:r>
    </w:p>
    <w:p w14:paraId="762A1BFD" w14:textId="77777777" w:rsidR="00D51D8C"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5</w:t>
      </w:r>
      <w:r>
        <w:rPr>
          <w:rFonts w:ascii="宋体" w:hAnsi="宋体"/>
          <w:sz w:val="24"/>
        </w:rPr>
        <w:t>年</w:t>
      </w:r>
      <w:r>
        <w:rPr>
          <w:rFonts w:ascii="宋体" w:hAnsi="宋体" w:hint="eastAsia"/>
          <w:sz w:val="24"/>
        </w:rPr>
        <w:t>12</w:t>
      </w:r>
      <w:r>
        <w:rPr>
          <w:rFonts w:ascii="宋体" w:hAnsi="宋体"/>
          <w:sz w:val="24"/>
        </w:rPr>
        <w:t>月</w:t>
      </w:r>
      <w:r>
        <w:rPr>
          <w:rFonts w:ascii="宋体" w:hAnsi="宋体" w:hint="eastAsia"/>
          <w:sz w:val="24"/>
        </w:rPr>
        <w:t>3</w:t>
      </w:r>
      <w:r>
        <w:rPr>
          <w:rFonts w:ascii="宋体" w:hAnsi="宋体"/>
          <w:sz w:val="24"/>
        </w:rPr>
        <w:t>日</w:t>
      </w:r>
      <w:r>
        <w:rPr>
          <w:rFonts w:ascii="宋体" w:hAnsi="宋体" w:hint="eastAsia"/>
          <w:sz w:val="24"/>
        </w:rPr>
        <w:t>在北京组织召开了专题研讨会。本次会议共有工作组成员及秘书处单位成员34人参会。与会专家围绕该部分内容展开了细致讨论，主要形成以下意见：</w:t>
      </w:r>
    </w:p>
    <w:p w14:paraId="4880B046" w14:textId="77777777" w:rsidR="00D51D8C" w:rsidRDefault="00000000">
      <w:pPr>
        <w:spacing w:line="360" w:lineRule="auto"/>
        <w:ind w:firstLineChars="0" w:firstLine="0"/>
        <w:rPr>
          <w:sz w:val="24"/>
          <w:szCs w:val="24"/>
        </w:rPr>
      </w:pPr>
      <w:r>
        <w:rPr>
          <w:rFonts w:hint="eastAsia"/>
          <w:sz w:val="24"/>
          <w:szCs w:val="24"/>
        </w:rPr>
        <w:t>1.</w:t>
      </w:r>
      <w:r>
        <w:rPr>
          <w:rFonts w:hint="eastAsia"/>
          <w:sz w:val="24"/>
          <w:szCs w:val="24"/>
        </w:rPr>
        <w:t>“固体”定义：需核查“土壤、沉积物、固废等”等是否涵盖全面。</w:t>
      </w:r>
      <w:r>
        <w:rPr>
          <w:rFonts w:hint="eastAsia"/>
          <w:sz w:val="24"/>
          <w:szCs w:val="24"/>
        </w:rPr>
        <w:t xml:space="preserve"> </w:t>
      </w:r>
      <w:r>
        <w:rPr>
          <w:rFonts w:hint="eastAsia"/>
          <w:sz w:val="24"/>
          <w:szCs w:val="24"/>
        </w:rPr>
        <w:t>这个部分需要重新定义一个适合的名称，“固体”范围有些过大，“土壤”范围又过小。</w:t>
      </w:r>
      <w:r>
        <w:rPr>
          <w:rFonts w:hint="eastAsia"/>
          <w:sz w:val="24"/>
          <w:szCs w:val="24"/>
        </w:rPr>
        <w:t xml:space="preserve"> </w:t>
      </w:r>
    </w:p>
    <w:p w14:paraId="0BF74579" w14:textId="77777777" w:rsidR="00D51D8C" w:rsidRDefault="00000000">
      <w:pPr>
        <w:spacing w:line="360" w:lineRule="auto"/>
        <w:ind w:firstLineChars="0" w:firstLine="0"/>
        <w:rPr>
          <w:sz w:val="24"/>
          <w:szCs w:val="24"/>
        </w:rPr>
      </w:pPr>
      <w:r>
        <w:rPr>
          <w:rFonts w:hint="eastAsia"/>
          <w:sz w:val="24"/>
          <w:szCs w:val="24"/>
        </w:rPr>
        <w:t>2.</w:t>
      </w:r>
      <w:r>
        <w:rPr>
          <w:rFonts w:hint="eastAsia"/>
          <w:sz w:val="24"/>
          <w:szCs w:val="24"/>
        </w:rPr>
        <w:t>转运模块描述：不应限定为机器人，可包括轨道等多种形式，过程不限制，尽可能包容相关表述应调整。</w:t>
      </w:r>
      <w:r>
        <w:rPr>
          <w:rFonts w:hint="eastAsia"/>
          <w:sz w:val="24"/>
          <w:szCs w:val="24"/>
        </w:rPr>
        <w:t xml:space="preserve">  </w:t>
      </w:r>
    </w:p>
    <w:p w14:paraId="2830F6D8" w14:textId="77777777" w:rsidR="00D51D8C" w:rsidRDefault="00000000">
      <w:pPr>
        <w:spacing w:line="360" w:lineRule="auto"/>
        <w:ind w:firstLineChars="0" w:firstLine="0"/>
        <w:rPr>
          <w:sz w:val="24"/>
          <w:szCs w:val="24"/>
        </w:rPr>
      </w:pPr>
      <w:r>
        <w:rPr>
          <w:rFonts w:hint="eastAsia"/>
          <w:sz w:val="24"/>
          <w:szCs w:val="24"/>
        </w:rPr>
        <w:t>3.</w:t>
      </w:r>
      <w:r>
        <w:rPr>
          <w:rFonts w:hint="eastAsia"/>
          <w:sz w:val="24"/>
          <w:szCs w:val="24"/>
        </w:rPr>
        <w:t>评价依据：不应以具体数量为标准，应以技术特征为依据，建议统一参照第</w:t>
      </w:r>
      <w:r>
        <w:rPr>
          <w:rFonts w:hint="eastAsia"/>
          <w:sz w:val="24"/>
          <w:szCs w:val="24"/>
        </w:rPr>
        <w:t>2</w:t>
      </w:r>
      <w:r>
        <w:rPr>
          <w:rFonts w:hint="eastAsia"/>
          <w:sz w:val="24"/>
          <w:szCs w:val="24"/>
        </w:rPr>
        <w:t>部分增加分级表格。</w:t>
      </w:r>
      <w:r>
        <w:rPr>
          <w:rFonts w:hint="eastAsia"/>
          <w:sz w:val="24"/>
          <w:szCs w:val="24"/>
        </w:rPr>
        <w:t xml:space="preserve">  </w:t>
      </w:r>
    </w:p>
    <w:p w14:paraId="797A85AC" w14:textId="77777777" w:rsidR="00D51D8C" w:rsidRDefault="00000000">
      <w:pPr>
        <w:spacing w:line="360" w:lineRule="auto"/>
        <w:ind w:firstLineChars="0" w:firstLine="0"/>
        <w:rPr>
          <w:sz w:val="24"/>
          <w:szCs w:val="24"/>
        </w:rPr>
      </w:pPr>
      <w:r>
        <w:rPr>
          <w:rFonts w:hint="eastAsia"/>
          <w:sz w:val="24"/>
          <w:szCs w:val="24"/>
        </w:rPr>
        <w:t>4.</w:t>
      </w:r>
      <w:r>
        <w:rPr>
          <w:rFonts w:hint="eastAsia"/>
          <w:sz w:val="24"/>
          <w:szCs w:val="24"/>
        </w:rPr>
        <w:t>引用文件：建议将引用标准移至编制说明作为参考资料。</w:t>
      </w:r>
      <w:r>
        <w:rPr>
          <w:rFonts w:hint="eastAsia"/>
          <w:sz w:val="24"/>
          <w:szCs w:val="24"/>
        </w:rPr>
        <w:t xml:space="preserve"> </w:t>
      </w:r>
    </w:p>
    <w:p w14:paraId="6C670314" w14:textId="77777777" w:rsidR="00D51D8C" w:rsidRDefault="00000000">
      <w:pPr>
        <w:spacing w:line="360" w:lineRule="auto"/>
        <w:ind w:firstLineChars="0" w:firstLine="0"/>
        <w:rPr>
          <w:sz w:val="24"/>
          <w:szCs w:val="24"/>
        </w:rPr>
      </w:pPr>
      <w:r>
        <w:rPr>
          <w:rFonts w:hint="eastAsia"/>
          <w:sz w:val="24"/>
          <w:szCs w:val="24"/>
        </w:rPr>
        <w:t>5.</w:t>
      </w:r>
      <w:r>
        <w:rPr>
          <w:rFonts w:hint="eastAsia"/>
          <w:sz w:val="24"/>
          <w:szCs w:val="24"/>
        </w:rPr>
        <w:t>建议文本中不提“实验室”的概念，可以对环境提出要求，但是对实验室、硬件不做具体要求，形成一个“无形实验室的概念”，这样也可以有效解决在线仪器、车载仪器的范围问题。</w:t>
      </w:r>
      <w:r>
        <w:rPr>
          <w:rFonts w:hint="eastAsia"/>
          <w:sz w:val="24"/>
          <w:szCs w:val="24"/>
        </w:rPr>
        <w:t xml:space="preserve"> </w:t>
      </w:r>
    </w:p>
    <w:p w14:paraId="46EE102D" w14:textId="77777777" w:rsidR="00D51D8C" w:rsidRDefault="00000000">
      <w:pPr>
        <w:spacing w:line="360" w:lineRule="auto"/>
        <w:ind w:firstLineChars="0" w:firstLine="0"/>
        <w:rPr>
          <w:sz w:val="24"/>
          <w:szCs w:val="24"/>
        </w:rPr>
      </w:pPr>
      <w:r>
        <w:rPr>
          <w:rFonts w:hint="eastAsia"/>
          <w:sz w:val="24"/>
          <w:szCs w:val="24"/>
        </w:rPr>
        <w:lastRenderedPageBreak/>
        <w:t>6.</w:t>
      </w:r>
      <w:r>
        <w:rPr>
          <w:rFonts w:hint="eastAsia"/>
          <w:sz w:val="24"/>
          <w:szCs w:val="24"/>
        </w:rPr>
        <w:t>分级逻辑：智能化</w:t>
      </w:r>
      <w:proofErr w:type="gramStart"/>
      <w:r>
        <w:rPr>
          <w:rFonts w:hint="eastAsia"/>
          <w:sz w:val="24"/>
          <w:szCs w:val="24"/>
        </w:rPr>
        <w:t>分级应</w:t>
      </w:r>
      <w:proofErr w:type="gramEnd"/>
      <w:r>
        <w:rPr>
          <w:rFonts w:hint="eastAsia"/>
          <w:sz w:val="24"/>
          <w:szCs w:val="24"/>
        </w:rPr>
        <w:t>体现层级包含关系（如</w:t>
      </w:r>
      <w:r>
        <w:rPr>
          <w:rFonts w:hint="eastAsia"/>
          <w:sz w:val="24"/>
          <w:szCs w:val="24"/>
        </w:rPr>
        <w:t>2</w:t>
      </w:r>
      <w:r>
        <w:rPr>
          <w:rFonts w:hint="eastAsia"/>
          <w:sz w:val="24"/>
          <w:szCs w:val="24"/>
        </w:rPr>
        <w:t>级包含</w:t>
      </w:r>
      <w:r>
        <w:rPr>
          <w:rFonts w:hint="eastAsia"/>
          <w:sz w:val="24"/>
          <w:szCs w:val="24"/>
        </w:rPr>
        <w:t>1</w:t>
      </w:r>
      <w:r>
        <w:rPr>
          <w:rFonts w:hint="eastAsia"/>
          <w:sz w:val="24"/>
          <w:szCs w:val="24"/>
        </w:rPr>
        <w:t>级），具有兼容性，其中最高级别应留空间，保持开放性描述。</w:t>
      </w:r>
      <w:proofErr w:type="gramStart"/>
      <w:r>
        <w:rPr>
          <w:rFonts w:hint="eastAsia"/>
          <w:sz w:val="24"/>
          <w:szCs w:val="24"/>
        </w:rPr>
        <w:t>近期实现</w:t>
      </w:r>
      <w:proofErr w:type="gramEnd"/>
      <w:r>
        <w:rPr>
          <w:rFonts w:hint="eastAsia"/>
          <w:sz w:val="24"/>
          <w:szCs w:val="24"/>
        </w:rPr>
        <w:t>的可写实，远期要达到的可写虚，以应对近几年技术和概念的快速发展。</w:t>
      </w:r>
      <w:r>
        <w:rPr>
          <w:rFonts w:hint="eastAsia"/>
          <w:sz w:val="24"/>
          <w:szCs w:val="24"/>
        </w:rPr>
        <w:t xml:space="preserve">  </w:t>
      </w:r>
    </w:p>
    <w:p w14:paraId="35EF5634" w14:textId="77777777" w:rsidR="00D51D8C" w:rsidRDefault="00000000">
      <w:pPr>
        <w:spacing w:line="360" w:lineRule="auto"/>
        <w:ind w:firstLineChars="0" w:firstLine="0"/>
        <w:rPr>
          <w:sz w:val="24"/>
          <w:szCs w:val="24"/>
        </w:rPr>
      </w:pPr>
      <w:r>
        <w:rPr>
          <w:rFonts w:hint="eastAsia"/>
          <w:sz w:val="24"/>
          <w:szCs w:val="24"/>
        </w:rPr>
        <w:t>7.</w:t>
      </w:r>
      <w:r>
        <w:rPr>
          <w:rFonts w:hint="eastAsia"/>
          <w:sz w:val="24"/>
          <w:szCs w:val="24"/>
        </w:rPr>
        <w:t>引用关系：第</w:t>
      </w:r>
      <w:r>
        <w:rPr>
          <w:rFonts w:hint="eastAsia"/>
          <w:sz w:val="24"/>
          <w:szCs w:val="24"/>
        </w:rPr>
        <w:t>2</w:t>
      </w:r>
      <w:r>
        <w:rPr>
          <w:rFonts w:hint="eastAsia"/>
          <w:sz w:val="24"/>
          <w:szCs w:val="24"/>
        </w:rPr>
        <w:t>部分和第</w:t>
      </w:r>
      <w:r>
        <w:rPr>
          <w:rFonts w:hint="eastAsia"/>
          <w:sz w:val="24"/>
          <w:szCs w:val="24"/>
        </w:rPr>
        <w:t>4</w:t>
      </w:r>
      <w:r>
        <w:rPr>
          <w:rFonts w:hint="eastAsia"/>
          <w:sz w:val="24"/>
          <w:szCs w:val="24"/>
        </w:rPr>
        <w:t>部分应引用第</w:t>
      </w:r>
      <w:r>
        <w:rPr>
          <w:rFonts w:hint="eastAsia"/>
          <w:sz w:val="24"/>
          <w:szCs w:val="24"/>
        </w:rPr>
        <w:t>1</w:t>
      </w:r>
      <w:r>
        <w:rPr>
          <w:rFonts w:hint="eastAsia"/>
          <w:sz w:val="24"/>
          <w:szCs w:val="24"/>
        </w:rPr>
        <w:t>部分的内容。</w:t>
      </w:r>
      <w:r>
        <w:rPr>
          <w:rFonts w:hint="eastAsia"/>
          <w:sz w:val="24"/>
          <w:szCs w:val="24"/>
        </w:rPr>
        <w:t xml:space="preserve">  </w:t>
      </w:r>
    </w:p>
    <w:p w14:paraId="39CAEA26" w14:textId="77777777" w:rsidR="00D51D8C" w:rsidRDefault="00000000">
      <w:pPr>
        <w:spacing w:line="360" w:lineRule="auto"/>
        <w:ind w:firstLineChars="0" w:firstLine="0"/>
        <w:rPr>
          <w:sz w:val="24"/>
          <w:szCs w:val="24"/>
        </w:rPr>
      </w:pPr>
      <w:r>
        <w:rPr>
          <w:rFonts w:hint="eastAsia"/>
          <w:sz w:val="24"/>
          <w:szCs w:val="24"/>
        </w:rPr>
        <w:t>8.</w:t>
      </w:r>
      <w:r>
        <w:rPr>
          <w:rFonts w:hint="eastAsia"/>
          <w:sz w:val="24"/>
          <w:szCs w:val="24"/>
        </w:rPr>
        <w:t>术语统一：“预处理</w:t>
      </w:r>
      <w:r>
        <w:rPr>
          <w:rFonts w:hint="eastAsia"/>
          <w:sz w:val="24"/>
          <w:szCs w:val="24"/>
        </w:rPr>
        <w:t>/</w:t>
      </w:r>
      <w:r>
        <w:rPr>
          <w:rFonts w:hint="eastAsia"/>
          <w:sz w:val="24"/>
          <w:szCs w:val="24"/>
        </w:rPr>
        <w:t>前处理”建议考虑改为“样品制备”或“试样制备”，请相关专家进一步论证。</w:t>
      </w:r>
      <w:r>
        <w:rPr>
          <w:rFonts w:hint="eastAsia"/>
          <w:sz w:val="24"/>
          <w:szCs w:val="24"/>
        </w:rPr>
        <w:t xml:space="preserve">  </w:t>
      </w:r>
    </w:p>
    <w:p w14:paraId="388584CE" w14:textId="77777777" w:rsidR="00D51D8C" w:rsidRDefault="00000000">
      <w:pPr>
        <w:spacing w:line="360" w:lineRule="auto"/>
        <w:ind w:firstLineChars="0" w:firstLine="0"/>
        <w:rPr>
          <w:sz w:val="24"/>
          <w:szCs w:val="24"/>
        </w:rPr>
      </w:pPr>
      <w:r>
        <w:rPr>
          <w:rFonts w:hint="eastAsia"/>
          <w:sz w:val="24"/>
          <w:szCs w:val="24"/>
        </w:rPr>
        <w:t>9.</w:t>
      </w:r>
      <w:r>
        <w:rPr>
          <w:rFonts w:hint="eastAsia"/>
          <w:sz w:val="24"/>
          <w:szCs w:val="24"/>
        </w:rPr>
        <w:t>标准化对象：标准应针对系统评价，而非具体仪器或功能。</w:t>
      </w:r>
      <w:r>
        <w:rPr>
          <w:rFonts w:hint="eastAsia"/>
          <w:sz w:val="24"/>
          <w:szCs w:val="24"/>
        </w:rPr>
        <w:t xml:space="preserve">  </w:t>
      </w:r>
    </w:p>
    <w:p w14:paraId="754493DF" w14:textId="77777777" w:rsidR="00D51D8C" w:rsidRDefault="00000000">
      <w:pPr>
        <w:spacing w:line="360" w:lineRule="auto"/>
        <w:ind w:firstLineChars="0" w:firstLine="0"/>
        <w:rPr>
          <w:sz w:val="24"/>
          <w:szCs w:val="24"/>
        </w:rPr>
      </w:pPr>
      <w:r>
        <w:rPr>
          <w:rFonts w:hint="eastAsia"/>
          <w:sz w:val="24"/>
          <w:szCs w:val="24"/>
        </w:rPr>
        <w:t>9.</w:t>
      </w:r>
      <w:r>
        <w:rPr>
          <w:rFonts w:hint="eastAsia"/>
          <w:sz w:val="24"/>
          <w:szCs w:val="24"/>
        </w:rPr>
        <w:t>定级方式：建议明确符合项</w:t>
      </w:r>
      <w:r>
        <w:rPr>
          <w:rFonts w:hint="eastAsia"/>
          <w:sz w:val="24"/>
          <w:szCs w:val="24"/>
        </w:rPr>
        <w:t>/</w:t>
      </w:r>
      <w:r>
        <w:rPr>
          <w:rFonts w:hint="eastAsia"/>
          <w:sz w:val="24"/>
          <w:szCs w:val="24"/>
        </w:rPr>
        <w:t>不符合项</w:t>
      </w:r>
      <w:proofErr w:type="gramStart"/>
      <w:r>
        <w:rPr>
          <w:rFonts w:hint="eastAsia"/>
          <w:sz w:val="24"/>
          <w:szCs w:val="24"/>
        </w:rPr>
        <w:t>或各项</w:t>
      </w:r>
      <w:proofErr w:type="gramEnd"/>
      <w:r>
        <w:rPr>
          <w:rFonts w:hint="eastAsia"/>
          <w:sz w:val="24"/>
          <w:szCs w:val="24"/>
        </w:rPr>
        <w:t>权重，以支持定级评价。</w:t>
      </w:r>
      <w:r>
        <w:rPr>
          <w:rFonts w:hint="eastAsia"/>
          <w:sz w:val="24"/>
          <w:szCs w:val="24"/>
        </w:rPr>
        <w:t xml:space="preserve">  </w:t>
      </w:r>
    </w:p>
    <w:p w14:paraId="62E9C553" w14:textId="77777777" w:rsidR="00D51D8C" w:rsidRDefault="00000000">
      <w:pPr>
        <w:spacing w:line="360" w:lineRule="auto"/>
        <w:ind w:firstLineChars="0" w:firstLine="0"/>
        <w:rPr>
          <w:sz w:val="24"/>
          <w:szCs w:val="24"/>
        </w:rPr>
      </w:pPr>
      <w:r>
        <w:rPr>
          <w:rFonts w:hint="eastAsia"/>
          <w:sz w:val="24"/>
          <w:szCs w:val="24"/>
        </w:rPr>
        <w:t>10.</w:t>
      </w:r>
      <w:r>
        <w:rPr>
          <w:rFonts w:hint="eastAsia"/>
          <w:sz w:val="24"/>
          <w:szCs w:val="24"/>
        </w:rPr>
        <w:t>术语使用：建议使用“固体环境样品”，并在范围中明确适用与不适用场景。</w:t>
      </w:r>
    </w:p>
    <w:p w14:paraId="019502BE" w14:textId="04BAC96C" w:rsidR="00603806" w:rsidRDefault="00603806" w:rsidP="00603806">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5</w:t>
      </w:r>
      <w:r>
        <w:rPr>
          <w:rFonts w:ascii="宋体" w:hAnsi="宋体"/>
          <w:sz w:val="24"/>
        </w:rPr>
        <w:t>年</w:t>
      </w:r>
      <w:r>
        <w:rPr>
          <w:rFonts w:ascii="宋体" w:hAnsi="宋体" w:hint="eastAsia"/>
          <w:sz w:val="24"/>
        </w:rPr>
        <w:t>4</w:t>
      </w:r>
      <w:r>
        <w:rPr>
          <w:rFonts w:ascii="宋体" w:hAnsi="宋体"/>
          <w:sz w:val="24"/>
        </w:rPr>
        <w:t>月</w:t>
      </w:r>
      <w:r>
        <w:rPr>
          <w:rFonts w:ascii="宋体" w:hAnsi="宋体" w:hint="eastAsia"/>
          <w:sz w:val="24"/>
        </w:rPr>
        <w:t>1</w:t>
      </w:r>
      <w:r>
        <w:rPr>
          <w:rFonts w:ascii="宋体" w:hAnsi="宋体"/>
          <w:sz w:val="24"/>
        </w:rPr>
        <w:t>日</w:t>
      </w:r>
      <w:r w:rsidRPr="00D87850">
        <w:rPr>
          <w:sz w:val="24"/>
        </w:rPr>
        <w:t>~</w:t>
      </w:r>
      <w:r>
        <w:rPr>
          <w:rFonts w:ascii="宋体" w:hAnsi="宋体" w:hint="eastAsia"/>
          <w:sz w:val="24"/>
        </w:rPr>
        <w:t>4月2日在景德镇组织召开了起草工作组一次会议。本次会议共有工作组成员及秘书处单位成员32人参会。与会专家围绕该部分内容展开了细致讨论，主要形成以下意见：</w:t>
      </w:r>
    </w:p>
    <w:p w14:paraId="5E9C8BEC" w14:textId="77777777" w:rsidR="004F1CF0" w:rsidRDefault="004F1CF0" w:rsidP="004F1CF0">
      <w:pPr>
        <w:spacing w:line="360" w:lineRule="auto"/>
        <w:ind w:firstLineChars="200" w:firstLine="480"/>
        <w:rPr>
          <w:rFonts w:ascii="宋体" w:hAnsi="宋体" w:cs="华文中宋" w:hint="eastAsia"/>
          <w:sz w:val="24"/>
        </w:rPr>
      </w:pPr>
      <w:r>
        <w:rPr>
          <w:rFonts w:ascii="宋体" w:hAnsi="宋体" w:cs="华文中宋" w:hint="eastAsia"/>
          <w:sz w:val="24"/>
        </w:rPr>
        <w:t>编制说明：</w:t>
      </w:r>
    </w:p>
    <w:p w14:paraId="36B0BF44" w14:textId="77777777" w:rsidR="004F1CF0" w:rsidRDefault="004F1CF0" w:rsidP="004F1CF0">
      <w:pPr>
        <w:widowControl w:val="0"/>
        <w:numPr>
          <w:ilvl w:val="0"/>
          <w:numId w:val="4"/>
        </w:numPr>
        <w:tabs>
          <w:tab w:val="left" w:pos="312"/>
        </w:tabs>
        <w:spacing w:line="360" w:lineRule="auto"/>
        <w:ind w:firstLineChars="200" w:firstLine="480"/>
        <w:rPr>
          <w:rFonts w:ascii="宋体" w:hAnsi="宋体" w:cs="华文中宋" w:hint="eastAsia"/>
          <w:sz w:val="24"/>
        </w:rPr>
      </w:pPr>
      <w:r>
        <w:rPr>
          <w:rFonts w:ascii="宋体" w:hAnsi="宋体" w:cs="华文中宋" w:hint="eastAsia"/>
          <w:sz w:val="24"/>
        </w:rPr>
        <w:t>第3章题目改为“标准主要内容”；</w:t>
      </w:r>
    </w:p>
    <w:p w14:paraId="35A66813" w14:textId="77777777" w:rsidR="004F1CF0" w:rsidRDefault="004F1CF0" w:rsidP="004F1CF0">
      <w:pPr>
        <w:tabs>
          <w:tab w:val="left" w:pos="312"/>
        </w:tabs>
        <w:spacing w:line="360" w:lineRule="auto"/>
        <w:ind w:firstLineChars="200" w:firstLine="480"/>
        <w:rPr>
          <w:rFonts w:ascii="宋体" w:hAnsi="宋体" w:cs="华文中宋" w:hint="eastAsia"/>
          <w:sz w:val="24"/>
        </w:rPr>
      </w:pPr>
      <w:r>
        <w:rPr>
          <w:rFonts w:ascii="宋体" w:hAnsi="宋体" w:hint="eastAsia"/>
          <w:sz w:val="24"/>
        </w:rPr>
        <w:t xml:space="preserve">2. </w:t>
      </w:r>
      <w:r>
        <w:rPr>
          <w:rFonts w:ascii="宋体" w:hAnsi="宋体" w:cs="华文中宋" w:hint="eastAsia"/>
          <w:sz w:val="24"/>
        </w:rPr>
        <w:t>第3章题目改为“标准主要内容”。本文件改为6部分组成，增加固体检测智能化系统的组成；</w:t>
      </w:r>
    </w:p>
    <w:p w14:paraId="4BF3689C" w14:textId="77777777" w:rsidR="004F1CF0" w:rsidRDefault="004F1CF0" w:rsidP="004F1CF0">
      <w:pPr>
        <w:tabs>
          <w:tab w:val="left" w:pos="312"/>
        </w:tabs>
        <w:spacing w:line="360" w:lineRule="auto"/>
        <w:ind w:firstLineChars="200" w:firstLine="480"/>
        <w:rPr>
          <w:rFonts w:ascii="宋体" w:hAnsi="宋体" w:cs="华文中宋" w:hint="eastAsia"/>
          <w:sz w:val="24"/>
        </w:rPr>
      </w:pPr>
      <w:r>
        <w:rPr>
          <w:rFonts w:ascii="宋体" w:hAnsi="宋体" w:cs="华文中宋" w:hint="eastAsia"/>
          <w:sz w:val="24"/>
        </w:rPr>
        <w:t>3.将所有“智能固体检测系统”统一改为：“固体检测智能化系统”；</w:t>
      </w:r>
    </w:p>
    <w:p w14:paraId="5400FBFE" w14:textId="77777777" w:rsidR="004F1CF0" w:rsidRDefault="004F1CF0" w:rsidP="004F1CF0">
      <w:pPr>
        <w:tabs>
          <w:tab w:val="left" w:pos="312"/>
        </w:tabs>
        <w:spacing w:line="360" w:lineRule="auto"/>
        <w:ind w:firstLineChars="200" w:firstLine="480"/>
        <w:rPr>
          <w:rFonts w:ascii="宋体" w:hAnsi="宋体" w:cs="华文中宋" w:hint="eastAsia"/>
          <w:sz w:val="24"/>
        </w:rPr>
      </w:pPr>
      <w:r>
        <w:rPr>
          <w:rFonts w:ascii="宋体" w:hAnsi="宋体" w:cs="华文中宋" w:hint="eastAsia"/>
          <w:sz w:val="24"/>
        </w:rPr>
        <w:t>4.3.3 术语和定义中固体样品的定义修改为：本标准涉及的固体样品包括但不限于土壤、沉积物、固体废物等环境类样品，矿砂、岩芯、层岩、煤炭等地质与矿业类样品，以及原糖、谷物、果蔬等农产品、食品类样品。</w:t>
      </w:r>
    </w:p>
    <w:p w14:paraId="44D01883" w14:textId="77777777" w:rsidR="004F1CF0" w:rsidRDefault="004F1CF0" w:rsidP="004F1CF0">
      <w:pPr>
        <w:spacing w:line="360" w:lineRule="auto"/>
        <w:ind w:firstLineChars="200" w:firstLine="480"/>
        <w:rPr>
          <w:rFonts w:ascii="宋体" w:hAnsi="宋体" w:cs="华文中宋" w:hint="eastAsia"/>
          <w:sz w:val="24"/>
        </w:rPr>
      </w:pPr>
      <w:r>
        <w:rPr>
          <w:rFonts w:ascii="宋体" w:hAnsi="宋体" w:cs="华文中宋" w:hint="eastAsia"/>
          <w:sz w:val="24"/>
        </w:rPr>
        <w:t>标准正文：</w:t>
      </w:r>
    </w:p>
    <w:p w14:paraId="7E49403D" w14:textId="77777777" w:rsidR="004F1CF0" w:rsidRDefault="004F1CF0" w:rsidP="004F1CF0">
      <w:pPr>
        <w:widowControl w:val="0"/>
        <w:numPr>
          <w:ilvl w:val="0"/>
          <w:numId w:val="5"/>
        </w:numPr>
        <w:tabs>
          <w:tab w:val="left" w:pos="312"/>
        </w:tabs>
        <w:spacing w:line="360" w:lineRule="auto"/>
        <w:ind w:firstLineChars="200" w:firstLine="480"/>
        <w:rPr>
          <w:rFonts w:ascii="宋体" w:hAnsi="宋体" w:cs="华文中宋" w:hint="eastAsia"/>
          <w:sz w:val="24"/>
        </w:rPr>
      </w:pPr>
      <w:r>
        <w:rPr>
          <w:rFonts w:ascii="宋体" w:hAnsi="宋体" w:cs="华文中宋" w:hint="eastAsia"/>
          <w:sz w:val="24"/>
        </w:rPr>
        <w:t>补充完善英文题目；</w:t>
      </w:r>
    </w:p>
    <w:p w14:paraId="5B325E84"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cs="华文中宋" w:hint="eastAsia"/>
          <w:sz w:val="24"/>
        </w:rPr>
        <w:t>引言部分，第3自然段土壤、沉积物等，沉积物等，按照矿产、环境大类列出类别即可，无须列出明细；第2、3、4部分的“监测”改成“检测”；</w:t>
      </w:r>
    </w:p>
    <w:p w14:paraId="3660DF9F"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cs="华文中宋" w:hint="eastAsia"/>
          <w:sz w:val="24"/>
        </w:rPr>
        <w:t>1范围与本系列标准第2部分保持一致，增加固体样品的表述；</w:t>
      </w:r>
    </w:p>
    <w:p w14:paraId="3D6F9F4B"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cs="华文中宋" w:hint="eastAsia"/>
          <w:sz w:val="24"/>
        </w:rPr>
        <w:t>2引用文件核对其是否在文中引用；</w:t>
      </w:r>
    </w:p>
    <w:p w14:paraId="7E3ED37D"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cs="华文中宋" w:hint="eastAsia"/>
          <w:sz w:val="24"/>
        </w:rPr>
        <w:t>3.1名称修改为“固体检测智能化系统”；</w:t>
      </w:r>
    </w:p>
    <w:p w14:paraId="4B445B0B" w14:textId="77777777" w:rsidR="004F1CF0" w:rsidRPr="00CF3874"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sidRPr="00CF3874">
        <w:rPr>
          <w:rFonts w:ascii="宋体" w:hAnsi="宋体" w:hint="eastAsia"/>
          <w:sz w:val="24"/>
        </w:rPr>
        <w:t>第4章，题目改为“固体检测智能化系统的组成”，单元名称尽量与流程相一致，对照系列标准第1部分的术语和定义，如果没有找到相对应的，须在</w:t>
      </w:r>
      <w:r w:rsidRPr="00CF3874">
        <w:rPr>
          <w:rFonts w:ascii="宋体" w:hAnsi="宋体" w:hint="eastAsia"/>
          <w:sz w:val="24"/>
        </w:rPr>
        <w:lastRenderedPageBreak/>
        <w:t>本部分增加相应的定义；固体检测智能化系统包含“样品识别、样品制备、取样、流转、前处理、分析仪器、主控、样品及耗材保存、废弃物管理以及辅助单元等”；</w:t>
      </w:r>
    </w:p>
    <w:p w14:paraId="18659FEC"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图中涉及到的英文用全称表述；</w:t>
      </w:r>
    </w:p>
    <w:p w14:paraId="0DB4DBEE"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5.1a项，固体样品按照大类进行表述；</w:t>
      </w:r>
    </w:p>
    <w:p w14:paraId="6E65FFF7"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5.1c项，</w:t>
      </w:r>
      <w:proofErr w:type="gramStart"/>
      <w:r>
        <w:rPr>
          <w:rFonts w:ascii="宋体" w:hAnsi="宋体" w:hint="eastAsia"/>
          <w:sz w:val="24"/>
        </w:rPr>
        <w:t>删除日检测</w:t>
      </w:r>
      <w:proofErr w:type="gramEnd"/>
      <w:r>
        <w:rPr>
          <w:rFonts w:ascii="宋体" w:hAnsi="宋体" w:hint="eastAsia"/>
          <w:sz w:val="24"/>
        </w:rPr>
        <w:t>量；</w:t>
      </w:r>
    </w:p>
    <w:p w14:paraId="5A19A402"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5.1d项，72小时无故障运行（删除样品量）；</w:t>
      </w:r>
    </w:p>
    <w:p w14:paraId="24B5D58B"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5.3分为，干燥、破碎及研磨、筛分、分样模块（样品充分混匀后，依据相关方法标准要求进行分样、称量）、装样、样品自动传输、质量控制、清洁模块；</w:t>
      </w:r>
    </w:p>
    <w:p w14:paraId="6ECDEFCA"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5.4，改为仅保留a项中内容；</w:t>
      </w:r>
    </w:p>
    <w:p w14:paraId="6D74FE5C"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5.5 样品流转中，仅保留“实现样品在各功能单元间的安全、平稳、准确转移”；其他关于自动化的描述放在分级里；</w:t>
      </w:r>
    </w:p>
    <w:p w14:paraId="3C4EF181"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5.6样品前处理参照系列标准第2部分修改；</w:t>
      </w:r>
    </w:p>
    <w:p w14:paraId="3B93B2DD"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5.7分析仪器单元和5.8主控单元与系列标准第2部分互相参照补充；</w:t>
      </w:r>
    </w:p>
    <w:p w14:paraId="2C418953"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5.9样品及耗材保存，增加留存、长期保存（参考HJ166标准的写法）；</w:t>
      </w:r>
    </w:p>
    <w:p w14:paraId="693E021A"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增加5.10废物管理单元参照系列标准第2部分修改；</w:t>
      </w:r>
    </w:p>
    <w:p w14:paraId="0AE38E31" w14:textId="77777777" w:rsidR="004F1CF0" w:rsidRDefault="004F1CF0" w:rsidP="004F1CF0">
      <w:pPr>
        <w:widowControl w:val="0"/>
        <w:numPr>
          <w:ilvl w:val="0"/>
          <w:numId w:val="5"/>
        </w:numPr>
        <w:tabs>
          <w:tab w:val="left" w:pos="312"/>
        </w:tabs>
        <w:spacing w:line="360" w:lineRule="auto"/>
        <w:ind w:firstLineChars="200" w:firstLine="480"/>
        <w:rPr>
          <w:rFonts w:ascii="宋体" w:hAnsi="宋体" w:hint="eastAsia"/>
          <w:sz w:val="24"/>
        </w:rPr>
      </w:pPr>
      <w:r>
        <w:rPr>
          <w:rFonts w:ascii="宋体" w:hAnsi="宋体" w:hint="eastAsia"/>
          <w:sz w:val="24"/>
        </w:rPr>
        <w:t>5.11辅助单元，包含清洗、供水、供气、试剂配置、环境感知（如温、湿度等）、安全保障（监控）；</w:t>
      </w:r>
    </w:p>
    <w:p w14:paraId="3D43EFF9" w14:textId="1067E6ED" w:rsidR="00D51D8C" w:rsidRDefault="004F1CF0" w:rsidP="00263011">
      <w:pPr>
        <w:spacing w:line="360" w:lineRule="auto"/>
        <w:ind w:firstLineChars="200" w:firstLine="480"/>
        <w:rPr>
          <w:sz w:val="24"/>
          <w:szCs w:val="24"/>
        </w:rPr>
      </w:pPr>
      <w:proofErr w:type="gramStart"/>
      <w:r>
        <w:rPr>
          <w:rFonts w:ascii="宋体" w:hAnsi="宋体" w:hint="eastAsia"/>
          <w:sz w:val="24"/>
        </w:rPr>
        <w:t>第6章运维</w:t>
      </w:r>
      <w:proofErr w:type="gramEnd"/>
      <w:r>
        <w:rPr>
          <w:rFonts w:ascii="宋体" w:hAnsi="宋体" w:hint="eastAsia"/>
          <w:sz w:val="24"/>
        </w:rPr>
        <w:t>参照系列标准第2部分写法。</w:t>
      </w:r>
      <w:r w:rsidR="00000000">
        <w:rPr>
          <w:rFonts w:hint="eastAsia"/>
          <w:sz w:val="24"/>
          <w:szCs w:val="24"/>
        </w:rPr>
        <w:t>SAC/TC124/SC6</w:t>
      </w:r>
      <w:r w:rsidR="00000000">
        <w:rPr>
          <w:rFonts w:hint="eastAsia"/>
          <w:sz w:val="24"/>
          <w:szCs w:val="24"/>
        </w:rPr>
        <w:t>秘书处于</w:t>
      </w:r>
      <w:r w:rsidR="00000000">
        <w:rPr>
          <w:rFonts w:hint="eastAsia"/>
          <w:sz w:val="24"/>
          <w:szCs w:val="24"/>
        </w:rPr>
        <w:t>2026</w:t>
      </w:r>
      <w:r w:rsidR="00000000">
        <w:rPr>
          <w:rFonts w:hint="eastAsia"/>
          <w:sz w:val="24"/>
          <w:szCs w:val="24"/>
        </w:rPr>
        <w:t>年</w:t>
      </w:r>
      <w:r w:rsidR="00000000">
        <w:rPr>
          <w:rFonts w:hint="eastAsia"/>
          <w:sz w:val="24"/>
          <w:szCs w:val="24"/>
        </w:rPr>
        <w:t>6</w:t>
      </w:r>
      <w:r w:rsidR="00000000">
        <w:rPr>
          <w:rFonts w:hint="eastAsia"/>
          <w:sz w:val="24"/>
          <w:szCs w:val="24"/>
        </w:rPr>
        <w:t>月</w:t>
      </w:r>
      <w:r w:rsidR="00000000">
        <w:rPr>
          <w:rFonts w:hint="eastAsia"/>
          <w:sz w:val="24"/>
          <w:szCs w:val="24"/>
        </w:rPr>
        <w:t>2</w:t>
      </w:r>
      <w:r w:rsidR="00000000">
        <w:rPr>
          <w:rFonts w:hint="eastAsia"/>
          <w:sz w:val="24"/>
          <w:szCs w:val="24"/>
        </w:rPr>
        <w:t>日组织召开了第</w:t>
      </w:r>
      <w:r>
        <w:rPr>
          <w:rFonts w:hint="eastAsia"/>
          <w:sz w:val="24"/>
          <w:szCs w:val="24"/>
        </w:rPr>
        <w:t>一</w:t>
      </w:r>
      <w:r w:rsidR="00000000">
        <w:rPr>
          <w:rFonts w:hint="eastAsia"/>
          <w:sz w:val="24"/>
          <w:szCs w:val="24"/>
        </w:rPr>
        <w:t>次线上专题研讨会。本次会议共有工作组成员及秘书处单位成员</w:t>
      </w:r>
      <w:r w:rsidR="00000000">
        <w:rPr>
          <w:rFonts w:hint="eastAsia"/>
          <w:sz w:val="24"/>
          <w:szCs w:val="24"/>
        </w:rPr>
        <w:t>7</w:t>
      </w:r>
      <w:r w:rsidR="00000000">
        <w:rPr>
          <w:rFonts w:hint="eastAsia"/>
          <w:sz w:val="24"/>
          <w:szCs w:val="24"/>
        </w:rPr>
        <w:t>人参会。与会专家围绕该部分内容展开了细致讨论，主要形成以下意见：</w:t>
      </w:r>
    </w:p>
    <w:p w14:paraId="7259EFBB" w14:textId="77777777" w:rsidR="00D51D8C" w:rsidRDefault="00000000">
      <w:pPr>
        <w:spacing w:line="360" w:lineRule="auto"/>
        <w:ind w:firstLineChars="0" w:firstLine="0"/>
        <w:rPr>
          <w:sz w:val="24"/>
          <w:szCs w:val="24"/>
        </w:rPr>
      </w:pPr>
      <w:r>
        <w:rPr>
          <w:rFonts w:hint="eastAsia"/>
          <w:sz w:val="24"/>
          <w:szCs w:val="24"/>
        </w:rPr>
        <w:t>1.</w:t>
      </w:r>
      <w:r>
        <w:rPr>
          <w:rFonts w:hint="eastAsia"/>
          <w:sz w:val="24"/>
          <w:szCs w:val="24"/>
        </w:rPr>
        <w:t>引言部分补充国内黑等实验室应用进展；</w:t>
      </w:r>
    </w:p>
    <w:p w14:paraId="7F4ED5B0" w14:textId="77777777" w:rsidR="00D51D8C" w:rsidRDefault="00000000">
      <w:pPr>
        <w:spacing w:line="360" w:lineRule="auto"/>
        <w:ind w:firstLineChars="0" w:firstLine="0"/>
        <w:rPr>
          <w:sz w:val="24"/>
          <w:szCs w:val="24"/>
        </w:rPr>
      </w:pPr>
      <w:r>
        <w:rPr>
          <w:rFonts w:hint="eastAsia"/>
          <w:sz w:val="24"/>
          <w:szCs w:val="24"/>
        </w:rPr>
        <w:t>2.</w:t>
      </w:r>
      <w:r>
        <w:rPr>
          <w:rFonts w:hint="eastAsia"/>
          <w:sz w:val="24"/>
          <w:szCs w:val="24"/>
        </w:rPr>
        <w:t>修改</w:t>
      </w:r>
      <w:r>
        <w:rPr>
          <w:rFonts w:hint="eastAsia"/>
          <w:sz w:val="24"/>
          <w:szCs w:val="24"/>
        </w:rPr>
        <w:t>3.1</w:t>
      </w:r>
      <w:r>
        <w:rPr>
          <w:rFonts w:hint="eastAsia"/>
          <w:sz w:val="24"/>
          <w:szCs w:val="24"/>
        </w:rPr>
        <w:t>“水质检测智能化系”定义；</w:t>
      </w:r>
    </w:p>
    <w:p w14:paraId="0E68AB6A" w14:textId="77777777" w:rsidR="00D51D8C" w:rsidRDefault="00000000">
      <w:pPr>
        <w:spacing w:line="360" w:lineRule="auto"/>
        <w:ind w:firstLineChars="0" w:firstLine="0"/>
        <w:rPr>
          <w:sz w:val="24"/>
          <w:szCs w:val="24"/>
        </w:rPr>
      </w:pPr>
      <w:r>
        <w:rPr>
          <w:rFonts w:hint="eastAsia"/>
          <w:sz w:val="24"/>
          <w:szCs w:val="24"/>
        </w:rPr>
        <w:t>3.</w:t>
      </w:r>
      <w:r>
        <w:rPr>
          <w:rFonts w:hint="eastAsia"/>
          <w:sz w:val="24"/>
          <w:szCs w:val="24"/>
        </w:rPr>
        <w:t>修改</w:t>
      </w:r>
      <w:r>
        <w:rPr>
          <w:rFonts w:hint="eastAsia"/>
          <w:sz w:val="24"/>
          <w:szCs w:val="24"/>
        </w:rPr>
        <w:t>4</w:t>
      </w:r>
      <w:r>
        <w:rPr>
          <w:rFonts w:hint="eastAsia"/>
          <w:sz w:val="24"/>
          <w:szCs w:val="24"/>
        </w:rPr>
        <w:t>水质检测智能化系统工作流程，增加试剂耗材管理内容；</w:t>
      </w:r>
    </w:p>
    <w:p w14:paraId="6084B954" w14:textId="77777777" w:rsidR="00D51D8C" w:rsidRDefault="00000000">
      <w:pPr>
        <w:spacing w:line="360" w:lineRule="auto"/>
        <w:ind w:firstLineChars="0" w:firstLine="0"/>
        <w:rPr>
          <w:sz w:val="24"/>
          <w:szCs w:val="24"/>
        </w:rPr>
      </w:pPr>
      <w:r>
        <w:rPr>
          <w:rFonts w:hint="eastAsia"/>
          <w:sz w:val="24"/>
          <w:szCs w:val="24"/>
        </w:rPr>
        <w:t>4.</w:t>
      </w:r>
      <w:r>
        <w:rPr>
          <w:rFonts w:hint="eastAsia"/>
          <w:sz w:val="24"/>
          <w:szCs w:val="24"/>
        </w:rPr>
        <w:t>删除</w:t>
      </w:r>
      <w:r>
        <w:rPr>
          <w:rFonts w:hint="eastAsia"/>
          <w:sz w:val="24"/>
          <w:szCs w:val="24"/>
        </w:rPr>
        <w:t>5</w:t>
      </w:r>
      <w:r>
        <w:rPr>
          <w:rFonts w:hint="eastAsia"/>
          <w:sz w:val="24"/>
          <w:szCs w:val="24"/>
        </w:rPr>
        <w:t>中所有“</w:t>
      </w:r>
      <w:r>
        <w:rPr>
          <w:rFonts w:hint="eastAsia"/>
          <w:sz w:val="24"/>
          <w:szCs w:val="24"/>
        </w:rPr>
        <w:t>4</w:t>
      </w:r>
      <w:r>
        <w:rPr>
          <w:rFonts w:hint="eastAsia"/>
          <w:sz w:val="24"/>
          <w:szCs w:val="24"/>
        </w:rPr>
        <w:t>级及以上”中的“及以上”，检查并修改笔误；</w:t>
      </w:r>
    </w:p>
    <w:p w14:paraId="5EC6B1B7" w14:textId="77777777" w:rsidR="00D51D8C" w:rsidRDefault="00000000">
      <w:pPr>
        <w:spacing w:line="360" w:lineRule="auto"/>
        <w:ind w:firstLineChars="0" w:firstLine="0"/>
        <w:rPr>
          <w:sz w:val="24"/>
          <w:szCs w:val="24"/>
        </w:rPr>
      </w:pPr>
      <w:r>
        <w:rPr>
          <w:rFonts w:hint="eastAsia"/>
          <w:sz w:val="24"/>
          <w:szCs w:val="24"/>
        </w:rPr>
        <w:t>5.</w:t>
      </w:r>
      <w:r>
        <w:rPr>
          <w:rFonts w:hint="eastAsia"/>
          <w:sz w:val="24"/>
          <w:szCs w:val="24"/>
        </w:rPr>
        <w:t>去除</w:t>
      </w:r>
      <w:r>
        <w:rPr>
          <w:rFonts w:hint="eastAsia"/>
          <w:sz w:val="24"/>
          <w:szCs w:val="24"/>
        </w:rPr>
        <w:t>5</w:t>
      </w:r>
      <w:r>
        <w:rPr>
          <w:rFonts w:hint="eastAsia"/>
          <w:sz w:val="24"/>
          <w:szCs w:val="24"/>
        </w:rPr>
        <w:t>中所有悬置节，增加子标题；</w:t>
      </w:r>
    </w:p>
    <w:p w14:paraId="079CB065" w14:textId="77777777" w:rsidR="00D51D8C" w:rsidRDefault="00000000">
      <w:pPr>
        <w:spacing w:line="360" w:lineRule="auto"/>
        <w:ind w:firstLineChars="0" w:firstLine="0"/>
        <w:rPr>
          <w:sz w:val="24"/>
          <w:szCs w:val="24"/>
        </w:rPr>
      </w:pPr>
      <w:r>
        <w:rPr>
          <w:rFonts w:hint="eastAsia"/>
          <w:sz w:val="24"/>
          <w:szCs w:val="24"/>
        </w:rPr>
        <w:lastRenderedPageBreak/>
        <w:t>6.</w:t>
      </w:r>
      <w:r>
        <w:rPr>
          <w:rFonts w:hint="eastAsia"/>
          <w:sz w:val="24"/>
          <w:szCs w:val="24"/>
        </w:rPr>
        <w:t>增加</w:t>
      </w:r>
      <w:r>
        <w:rPr>
          <w:rFonts w:hint="eastAsia"/>
          <w:sz w:val="24"/>
          <w:szCs w:val="24"/>
        </w:rPr>
        <w:t>5.9</w:t>
      </w:r>
      <w:r>
        <w:rPr>
          <w:rFonts w:hint="eastAsia"/>
          <w:sz w:val="24"/>
          <w:szCs w:val="24"/>
        </w:rPr>
        <w:t>试剂耗材管理单元内容，参照第</w:t>
      </w:r>
      <w:r>
        <w:rPr>
          <w:rFonts w:hint="eastAsia"/>
          <w:sz w:val="24"/>
          <w:szCs w:val="24"/>
        </w:rPr>
        <w:t>1</w:t>
      </w:r>
      <w:r>
        <w:rPr>
          <w:rFonts w:hint="eastAsia"/>
          <w:sz w:val="24"/>
          <w:szCs w:val="24"/>
        </w:rPr>
        <w:t>部分中各单元排列顺序调整</w:t>
      </w:r>
      <w:r>
        <w:rPr>
          <w:rFonts w:hint="eastAsia"/>
          <w:sz w:val="24"/>
          <w:szCs w:val="24"/>
        </w:rPr>
        <w:t>5</w:t>
      </w:r>
      <w:r>
        <w:rPr>
          <w:rFonts w:hint="eastAsia"/>
          <w:sz w:val="24"/>
          <w:szCs w:val="24"/>
        </w:rPr>
        <w:t>中各单元先后顺序；</w:t>
      </w:r>
    </w:p>
    <w:p w14:paraId="2127D049" w14:textId="77777777" w:rsidR="00D51D8C" w:rsidRDefault="00000000">
      <w:pPr>
        <w:spacing w:line="360" w:lineRule="auto"/>
        <w:ind w:firstLineChars="0" w:firstLine="0"/>
        <w:rPr>
          <w:sz w:val="24"/>
          <w:szCs w:val="24"/>
        </w:rPr>
      </w:pPr>
      <w:r>
        <w:rPr>
          <w:rFonts w:hint="eastAsia"/>
          <w:sz w:val="24"/>
          <w:szCs w:val="24"/>
        </w:rPr>
        <w:t>7.</w:t>
      </w:r>
      <w:r>
        <w:rPr>
          <w:rFonts w:hint="eastAsia"/>
          <w:sz w:val="24"/>
          <w:szCs w:val="24"/>
        </w:rPr>
        <w:t>修改</w:t>
      </w:r>
      <w:r>
        <w:rPr>
          <w:rFonts w:hint="eastAsia"/>
          <w:sz w:val="24"/>
          <w:szCs w:val="24"/>
        </w:rPr>
        <w:t>6.3</w:t>
      </w:r>
      <w:r>
        <w:rPr>
          <w:rFonts w:hint="eastAsia"/>
          <w:sz w:val="24"/>
          <w:szCs w:val="24"/>
        </w:rPr>
        <w:t>系统定期维护和</w:t>
      </w:r>
      <w:r>
        <w:rPr>
          <w:rFonts w:hint="eastAsia"/>
          <w:sz w:val="24"/>
          <w:szCs w:val="24"/>
        </w:rPr>
        <w:t>6.4</w:t>
      </w:r>
      <w:r>
        <w:rPr>
          <w:rFonts w:hint="eastAsia"/>
          <w:sz w:val="24"/>
          <w:szCs w:val="24"/>
        </w:rPr>
        <w:t>故障维护中的表述，取消分级内容；</w:t>
      </w:r>
    </w:p>
    <w:p w14:paraId="0F6E3FD6" w14:textId="77777777" w:rsidR="00D51D8C" w:rsidRDefault="00000000">
      <w:pPr>
        <w:spacing w:line="360" w:lineRule="auto"/>
        <w:ind w:firstLineChars="0" w:firstLine="0"/>
        <w:rPr>
          <w:sz w:val="24"/>
          <w:szCs w:val="24"/>
        </w:rPr>
      </w:pPr>
      <w:r>
        <w:rPr>
          <w:rFonts w:hint="eastAsia"/>
          <w:sz w:val="24"/>
          <w:szCs w:val="24"/>
        </w:rPr>
        <w:t>8.</w:t>
      </w:r>
      <w:r>
        <w:rPr>
          <w:rFonts w:hint="eastAsia"/>
          <w:sz w:val="24"/>
          <w:szCs w:val="24"/>
        </w:rPr>
        <w:t>精简附录</w:t>
      </w:r>
      <w:r>
        <w:rPr>
          <w:rFonts w:hint="eastAsia"/>
          <w:sz w:val="24"/>
          <w:szCs w:val="24"/>
        </w:rPr>
        <w:t>A</w:t>
      </w:r>
      <w:r>
        <w:rPr>
          <w:rFonts w:hint="eastAsia"/>
          <w:sz w:val="24"/>
          <w:szCs w:val="24"/>
        </w:rPr>
        <w:t>中各表内容，修改图例；</w:t>
      </w:r>
    </w:p>
    <w:p w14:paraId="1393BAE1" w14:textId="77777777" w:rsidR="00D51D8C" w:rsidRDefault="00000000">
      <w:pPr>
        <w:spacing w:line="360" w:lineRule="auto"/>
        <w:ind w:firstLineChars="0" w:firstLine="0"/>
        <w:rPr>
          <w:sz w:val="24"/>
          <w:szCs w:val="24"/>
        </w:rPr>
      </w:pPr>
      <w:r>
        <w:rPr>
          <w:rFonts w:hint="eastAsia"/>
          <w:sz w:val="24"/>
          <w:szCs w:val="24"/>
        </w:rPr>
        <w:t>9.</w:t>
      </w:r>
      <w:r>
        <w:rPr>
          <w:rFonts w:hint="eastAsia"/>
          <w:sz w:val="24"/>
          <w:szCs w:val="24"/>
        </w:rPr>
        <w:t>增加表</w:t>
      </w:r>
      <w:r>
        <w:rPr>
          <w:rFonts w:hint="eastAsia"/>
          <w:sz w:val="24"/>
          <w:szCs w:val="24"/>
        </w:rPr>
        <w:t>A.9</w:t>
      </w:r>
      <w:r>
        <w:rPr>
          <w:rFonts w:hint="eastAsia"/>
          <w:sz w:val="24"/>
          <w:szCs w:val="24"/>
        </w:rPr>
        <w:t>试剂耗材管理单元的技术要求表。</w:t>
      </w:r>
    </w:p>
    <w:p w14:paraId="0821322A" w14:textId="77777777" w:rsidR="00466713" w:rsidRDefault="00466713" w:rsidP="00466713">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6</w:t>
      </w:r>
      <w:r>
        <w:rPr>
          <w:rFonts w:ascii="宋体" w:hAnsi="宋体"/>
          <w:sz w:val="24"/>
        </w:rPr>
        <w:t>年</w:t>
      </w:r>
      <w:r>
        <w:rPr>
          <w:rFonts w:ascii="宋体" w:hAnsi="宋体" w:hint="eastAsia"/>
          <w:sz w:val="24"/>
        </w:rPr>
        <w:t>6</w:t>
      </w:r>
      <w:r>
        <w:rPr>
          <w:rFonts w:ascii="宋体" w:hAnsi="宋体"/>
          <w:sz w:val="24"/>
        </w:rPr>
        <w:t>月16日</w:t>
      </w:r>
      <w:r>
        <w:rPr>
          <w:rFonts w:ascii="宋体" w:hAnsi="宋体" w:hint="eastAsia"/>
          <w:sz w:val="24"/>
        </w:rPr>
        <w:t>组织召开了第二次线上专题研讨会。本次会议共有工作组成员及秘书处单位成员7人参会。与会专家围绕该部分内容展开了细致讨论，主要形成以下意见：</w:t>
      </w:r>
    </w:p>
    <w:p w14:paraId="7C8E3A90" w14:textId="77777777" w:rsidR="00466713" w:rsidRDefault="00466713" w:rsidP="00466713">
      <w:pPr>
        <w:pStyle w:val="af4"/>
        <w:numPr>
          <w:ilvl w:val="0"/>
          <w:numId w:val="3"/>
        </w:numPr>
        <w:jc w:val="left"/>
        <w:textAlignment w:val="bottom"/>
        <w:rPr>
          <w:rFonts w:ascii="宋体" w:hAnsi="宋体" w:hint="eastAsia"/>
          <w:kern w:val="2"/>
          <w:sz w:val="24"/>
          <w:szCs w:val="22"/>
        </w:rPr>
      </w:pPr>
      <w:r>
        <w:rPr>
          <w:rFonts w:ascii="宋体" w:hAnsi="宋体"/>
          <w:kern w:val="2"/>
          <w:sz w:val="24"/>
          <w:szCs w:val="22"/>
        </w:rPr>
        <w:t>修改文件英文名称为： Intelligent analytical instrument system ；</w:t>
      </w:r>
    </w:p>
    <w:p w14:paraId="7769A730" w14:textId="77777777" w:rsidR="00466713" w:rsidRDefault="00466713" w:rsidP="00466713">
      <w:pPr>
        <w:pStyle w:val="af4"/>
        <w:numPr>
          <w:ilvl w:val="0"/>
          <w:numId w:val="3"/>
        </w:numPr>
        <w:jc w:val="left"/>
        <w:textAlignment w:val="bottom"/>
        <w:rPr>
          <w:rFonts w:ascii="宋体" w:hAnsi="宋体" w:hint="eastAsia"/>
          <w:kern w:val="2"/>
          <w:sz w:val="24"/>
          <w:szCs w:val="22"/>
        </w:rPr>
      </w:pPr>
      <w:r>
        <w:rPr>
          <w:rFonts w:ascii="宋体" w:hAnsi="宋体"/>
          <w:kern w:val="2"/>
          <w:sz w:val="24"/>
          <w:szCs w:val="22"/>
        </w:rPr>
        <w:t>修改引言部分，生态环保等领域扩展至生态环保、地质地矿、石油化工、食品药品等领域；</w:t>
      </w:r>
    </w:p>
    <w:p w14:paraId="2B3FC676" w14:textId="77777777" w:rsidR="00466713" w:rsidRDefault="00466713" w:rsidP="00466713">
      <w:pPr>
        <w:pStyle w:val="af4"/>
        <w:numPr>
          <w:ilvl w:val="0"/>
          <w:numId w:val="3"/>
        </w:numPr>
        <w:jc w:val="left"/>
        <w:textAlignment w:val="bottom"/>
        <w:rPr>
          <w:rFonts w:ascii="宋体" w:hAnsi="宋体" w:hint="eastAsia"/>
          <w:kern w:val="2"/>
          <w:sz w:val="24"/>
          <w:szCs w:val="22"/>
        </w:rPr>
      </w:pPr>
      <w:r>
        <w:rPr>
          <w:rFonts w:ascii="宋体" w:hAnsi="宋体"/>
          <w:kern w:val="2"/>
          <w:sz w:val="24"/>
          <w:szCs w:val="22"/>
        </w:rPr>
        <w:t>规范性引用文件增加：GB/T 31190 实验室废弃化学品收集技术规范、‌GB 18597 《危险废物贮存污染控制标准》；</w:t>
      </w:r>
    </w:p>
    <w:p w14:paraId="48AD779B" w14:textId="77777777" w:rsidR="00466713" w:rsidRDefault="00466713" w:rsidP="00466713">
      <w:pPr>
        <w:numPr>
          <w:ilvl w:val="0"/>
          <w:numId w:val="3"/>
        </w:numPr>
        <w:spacing w:line="360" w:lineRule="auto"/>
        <w:ind w:firstLineChars="0" w:firstLine="0"/>
        <w:jc w:val="left"/>
        <w:rPr>
          <w:rFonts w:ascii="宋体" w:hAnsi="宋体" w:hint="eastAsia"/>
          <w:sz w:val="24"/>
        </w:rPr>
      </w:pPr>
      <w:r>
        <w:rPr>
          <w:rFonts w:ascii="宋体" w:hAnsi="宋体"/>
          <w:sz w:val="24"/>
        </w:rPr>
        <w:t>修改各个单元智能化系统分级的描述；</w:t>
      </w:r>
    </w:p>
    <w:p w14:paraId="41D24DE0" w14:textId="77777777" w:rsidR="00466713" w:rsidRDefault="00466713" w:rsidP="00466713">
      <w:pPr>
        <w:numPr>
          <w:ilvl w:val="0"/>
          <w:numId w:val="3"/>
        </w:numPr>
        <w:spacing w:line="360" w:lineRule="auto"/>
        <w:ind w:firstLineChars="0" w:firstLine="0"/>
        <w:jc w:val="left"/>
        <w:rPr>
          <w:rFonts w:ascii="宋体" w:hAnsi="宋体" w:hint="eastAsia"/>
          <w:sz w:val="24"/>
        </w:rPr>
      </w:pPr>
      <w:r>
        <w:rPr>
          <w:rFonts w:ascii="宋体" w:hAnsi="宋体"/>
          <w:sz w:val="24"/>
        </w:rPr>
        <w:t>去掉了废物管理单元中应至少满足72小时产生的废物要求。</w:t>
      </w:r>
    </w:p>
    <w:p w14:paraId="48633113" w14:textId="5E86C628" w:rsidR="00466713" w:rsidRPr="00263011" w:rsidRDefault="00466713" w:rsidP="00263011">
      <w:pPr>
        <w:spacing w:line="360" w:lineRule="auto"/>
        <w:ind w:firstLineChars="200" w:firstLine="480"/>
        <w:rPr>
          <w:rFonts w:ascii="宋体" w:hAnsi="宋体"/>
          <w:sz w:val="24"/>
        </w:rPr>
      </w:pPr>
      <w:r>
        <w:rPr>
          <w:rFonts w:ascii="宋体" w:hAnsi="宋体" w:hint="eastAsia"/>
          <w:sz w:val="24"/>
        </w:rPr>
        <w:t>根据以上意见和建议，经过牵头起草单位完善和修改，于2026年6月17日形成标准征求意见稿及编制说明。</w:t>
      </w:r>
    </w:p>
    <w:p w14:paraId="2574FDD1" w14:textId="77777777" w:rsidR="00D51D8C" w:rsidRDefault="00000000">
      <w:pPr>
        <w:spacing w:line="360" w:lineRule="auto"/>
        <w:ind w:firstLineChars="0" w:firstLine="0"/>
        <w:rPr>
          <w:sz w:val="24"/>
          <w:szCs w:val="24"/>
        </w:rPr>
      </w:pPr>
      <w:r>
        <w:rPr>
          <w:rFonts w:hint="eastAsia"/>
          <w:sz w:val="24"/>
          <w:szCs w:val="24"/>
        </w:rPr>
        <w:t>4</w:t>
      </w:r>
      <w:r>
        <w:rPr>
          <w:rFonts w:hint="eastAsia"/>
          <w:sz w:val="24"/>
          <w:szCs w:val="24"/>
        </w:rPr>
        <w:t>）征求意见稿</w:t>
      </w:r>
    </w:p>
    <w:p w14:paraId="49AA534D" w14:textId="77777777" w:rsidR="00D51D8C" w:rsidRDefault="00D51D8C">
      <w:pPr>
        <w:numPr>
          <w:ilvl w:val="255"/>
          <w:numId w:val="0"/>
        </w:numPr>
        <w:spacing w:line="360" w:lineRule="auto"/>
        <w:jc w:val="left"/>
        <w:rPr>
          <w:color w:val="000000"/>
          <w:sz w:val="24"/>
        </w:rPr>
      </w:pPr>
    </w:p>
    <w:p w14:paraId="264A9A66" w14:textId="77777777" w:rsidR="00D51D8C" w:rsidRDefault="00000000">
      <w:pPr>
        <w:spacing w:line="360" w:lineRule="auto"/>
        <w:ind w:firstLineChars="0" w:firstLine="0"/>
        <w:rPr>
          <w:sz w:val="24"/>
          <w:szCs w:val="24"/>
        </w:rPr>
      </w:pPr>
      <w:r>
        <w:rPr>
          <w:rFonts w:hint="eastAsia"/>
          <w:sz w:val="24"/>
          <w:szCs w:val="24"/>
        </w:rPr>
        <w:t>5</w:t>
      </w:r>
      <w:r>
        <w:rPr>
          <w:rFonts w:hint="eastAsia"/>
          <w:sz w:val="24"/>
          <w:szCs w:val="24"/>
        </w:rPr>
        <w:t>）送审稿</w:t>
      </w:r>
    </w:p>
    <w:p w14:paraId="17120456" w14:textId="77777777" w:rsidR="00D51D8C" w:rsidRDefault="00D51D8C">
      <w:pPr>
        <w:spacing w:line="360" w:lineRule="auto"/>
        <w:ind w:firstLineChars="200" w:firstLine="480"/>
        <w:rPr>
          <w:sz w:val="24"/>
          <w:szCs w:val="24"/>
        </w:rPr>
      </w:pPr>
    </w:p>
    <w:p w14:paraId="293D2372" w14:textId="77777777" w:rsidR="00D51D8C" w:rsidRDefault="00000000">
      <w:pPr>
        <w:pStyle w:val="p0"/>
        <w:adjustRightInd w:val="0"/>
        <w:snapToGrid w:val="0"/>
        <w:spacing w:line="360" w:lineRule="auto"/>
        <w:ind w:firstLineChars="62" w:firstLine="149"/>
        <w:rPr>
          <w:sz w:val="24"/>
          <w:szCs w:val="24"/>
        </w:rPr>
      </w:pPr>
      <w:r>
        <w:rPr>
          <w:rFonts w:hint="eastAsia"/>
          <w:sz w:val="24"/>
          <w:szCs w:val="24"/>
        </w:rPr>
        <w:t>6</w:t>
      </w:r>
      <w:r>
        <w:rPr>
          <w:rFonts w:hint="eastAsia"/>
          <w:sz w:val="24"/>
          <w:szCs w:val="24"/>
        </w:rPr>
        <w:t>）报批稿</w:t>
      </w:r>
    </w:p>
    <w:p w14:paraId="29859BD7" w14:textId="77777777" w:rsidR="00D51D8C" w:rsidRDefault="00D51D8C">
      <w:pPr>
        <w:pStyle w:val="p0"/>
        <w:adjustRightInd w:val="0"/>
        <w:snapToGrid w:val="0"/>
        <w:spacing w:line="360" w:lineRule="auto"/>
        <w:ind w:firstLineChars="400" w:firstLine="960"/>
        <w:rPr>
          <w:kern w:val="2"/>
          <w:sz w:val="24"/>
          <w:szCs w:val="20"/>
        </w:rPr>
      </w:pPr>
      <w:bookmarkStart w:id="3" w:name="_Toc7673"/>
    </w:p>
    <w:p w14:paraId="05B84F44" w14:textId="77777777" w:rsidR="00D51D8C" w:rsidRDefault="00000000">
      <w:pPr>
        <w:pStyle w:val="p0"/>
        <w:adjustRightInd w:val="0"/>
        <w:snapToGrid w:val="0"/>
        <w:spacing w:line="360" w:lineRule="auto"/>
        <w:ind w:firstLineChars="0" w:firstLine="0"/>
        <w:rPr>
          <w:rFonts w:ascii="黑体" w:eastAsia="黑体" w:hAnsi="黑体" w:cs="黑体" w:hint="eastAsia"/>
          <w:sz w:val="28"/>
          <w:szCs w:val="28"/>
        </w:rPr>
      </w:pPr>
      <w:r>
        <w:rPr>
          <w:rFonts w:ascii="黑体" w:eastAsia="黑体" w:hAnsi="黑体" w:cs="黑体" w:hint="eastAsia"/>
          <w:sz w:val="28"/>
          <w:szCs w:val="28"/>
        </w:rPr>
        <w:t>1.4主要起草人及其工作</w:t>
      </w:r>
      <w:bookmarkEnd w:id="3"/>
    </w:p>
    <w:p w14:paraId="0AC5941C" w14:textId="77777777" w:rsidR="00D51D8C" w:rsidRDefault="00000000">
      <w:pPr>
        <w:adjustRightInd w:val="0"/>
        <w:snapToGrid w:val="0"/>
        <w:spacing w:beforeLines="50" w:before="156" w:afterLines="50" w:after="156" w:line="360" w:lineRule="auto"/>
        <w:ind w:firstLineChars="200" w:firstLine="480"/>
        <w:rPr>
          <w:rFonts w:ascii="宋体"/>
          <w:kern w:val="0"/>
          <w:sz w:val="24"/>
          <w:szCs w:val="24"/>
        </w:rPr>
      </w:pPr>
      <w:bookmarkStart w:id="4" w:name="_Hlk205558476"/>
      <w:r>
        <w:rPr>
          <w:rFonts w:ascii="宋体" w:hint="eastAsia"/>
          <w:kern w:val="0"/>
          <w:sz w:val="24"/>
          <w:szCs w:val="24"/>
        </w:rPr>
        <w:t>负责标准的立项申请、工作计划制定、指导标准制定。</w:t>
      </w:r>
    </w:p>
    <w:p w14:paraId="58CFB6AF" w14:textId="77777777" w:rsidR="00D51D8C" w:rsidRDefault="00000000">
      <w:pPr>
        <w:adjustRightInd w:val="0"/>
        <w:snapToGrid w:val="0"/>
        <w:spacing w:beforeLines="50" w:before="156" w:afterLines="50" w:after="156" w:line="360" w:lineRule="auto"/>
        <w:ind w:firstLineChars="200" w:firstLine="480"/>
        <w:rPr>
          <w:rFonts w:ascii="宋体"/>
          <w:kern w:val="0"/>
          <w:sz w:val="24"/>
          <w:szCs w:val="24"/>
        </w:rPr>
      </w:pPr>
      <w:r>
        <w:rPr>
          <w:rFonts w:ascii="宋体" w:hint="eastAsia"/>
          <w:kern w:val="0"/>
          <w:sz w:val="24"/>
          <w:szCs w:val="24"/>
        </w:rPr>
        <w:t>编写标准和编制说明。</w:t>
      </w:r>
    </w:p>
    <w:p w14:paraId="33A0407A" w14:textId="77777777" w:rsidR="00D51D8C" w:rsidRDefault="00000000">
      <w:pPr>
        <w:spacing w:beforeLines="50" w:before="156" w:line="360" w:lineRule="auto"/>
        <w:ind w:firstLineChars="0" w:firstLine="0"/>
        <w:outlineLvl w:val="0"/>
        <w:rPr>
          <w:rFonts w:ascii="黑体" w:eastAsia="黑体" w:hAnsi="黑体" w:cs="黑体" w:hint="eastAsia"/>
          <w:sz w:val="32"/>
          <w:szCs w:val="32"/>
        </w:rPr>
      </w:pPr>
      <w:bookmarkStart w:id="5" w:name="_Toc11376"/>
      <w:bookmarkEnd w:id="4"/>
      <w:r>
        <w:rPr>
          <w:rFonts w:ascii="黑体" w:eastAsia="黑体" w:hAnsi="黑体" w:cs="黑体" w:hint="eastAsia"/>
          <w:sz w:val="32"/>
          <w:szCs w:val="32"/>
        </w:rPr>
        <w:t>2  标准的编制原则</w:t>
      </w:r>
      <w:bookmarkEnd w:id="5"/>
    </w:p>
    <w:p w14:paraId="25D64730" w14:textId="77777777" w:rsidR="00D51D8C" w:rsidRDefault="00000000">
      <w:pPr>
        <w:spacing w:line="360" w:lineRule="auto"/>
        <w:ind w:firstLineChars="0" w:firstLine="0"/>
        <w:outlineLvl w:val="1"/>
        <w:rPr>
          <w:rFonts w:ascii="黑体" w:eastAsia="黑体" w:hAnsi="黑体" w:cs="黑体" w:hint="eastAsia"/>
          <w:sz w:val="28"/>
          <w:szCs w:val="28"/>
        </w:rPr>
      </w:pPr>
      <w:bookmarkStart w:id="6" w:name="_Toc14459"/>
      <w:r>
        <w:rPr>
          <w:rFonts w:ascii="黑体" w:eastAsia="黑体" w:hAnsi="黑体" w:cs="黑体" w:hint="eastAsia"/>
          <w:sz w:val="28"/>
          <w:szCs w:val="28"/>
        </w:rPr>
        <w:t>2.1 本文件的编制原则</w:t>
      </w:r>
      <w:bookmarkEnd w:id="6"/>
    </w:p>
    <w:p w14:paraId="2875BF20" w14:textId="77777777" w:rsidR="00D51D8C" w:rsidRDefault="00000000">
      <w:pPr>
        <w:spacing w:line="360" w:lineRule="auto"/>
        <w:ind w:firstLineChars="200" w:firstLine="480"/>
        <w:rPr>
          <w:sz w:val="24"/>
          <w:szCs w:val="24"/>
        </w:rPr>
      </w:pPr>
      <w:r>
        <w:rPr>
          <w:rFonts w:hint="eastAsia"/>
          <w:sz w:val="24"/>
          <w:szCs w:val="24"/>
        </w:rPr>
        <w:lastRenderedPageBreak/>
        <w:t>按照</w:t>
      </w:r>
      <w:r>
        <w:rPr>
          <w:rFonts w:hint="eastAsia"/>
          <w:sz w:val="24"/>
          <w:szCs w:val="24"/>
        </w:rPr>
        <w:t>GB/T 1.1</w:t>
      </w:r>
      <w:r>
        <w:rPr>
          <w:rFonts w:hint="eastAsia"/>
          <w:sz w:val="24"/>
          <w:szCs w:val="24"/>
        </w:rPr>
        <w:t>—</w:t>
      </w:r>
      <w:r>
        <w:rPr>
          <w:rFonts w:hint="eastAsia"/>
          <w:sz w:val="24"/>
          <w:szCs w:val="24"/>
        </w:rPr>
        <w:t>2020</w:t>
      </w:r>
      <w:r>
        <w:rPr>
          <w:rFonts w:hint="eastAsia"/>
          <w:sz w:val="24"/>
          <w:szCs w:val="24"/>
        </w:rPr>
        <w:t>《标准化工作导则</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部分：标准化文件的结构和起草规则》的规定起草。</w:t>
      </w:r>
    </w:p>
    <w:p w14:paraId="4831FB6D" w14:textId="77777777" w:rsidR="00D51D8C" w:rsidRDefault="00000000">
      <w:pPr>
        <w:spacing w:line="360" w:lineRule="auto"/>
        <w:ind w:firstLineChars="200" w:firstLine="480"/>
        <w:rPr>
          <w:sz w:val="24"/>
          <w:szCs w:val="24"/>
        </w:rPr>
      </w:pPr>
      <w:r>
        <w:rPr>
          <w:rFonts w:hint="eastAsia"/>
          <w:sz w:val="24"/>
          <w:szCs w:val="24"/>
        </w:rPr>
        <w:t>本文件在编制过程中还参考了</w:t>
      </w:r>
      <w:r>
        <w:rPr>
          <w:rFonts w:hint="eastAsia"/>
          <w:sz w:val="24"/>
          <w:szCs w:val="24"/>
        </w:rPr>
        <w:t>GB/T 27025</w:t>
      </w:r>
      <w:r>
        <w:rPr>
          <w:rFonts w:hint="eastAsia"/>
          <w:sz w:val="24"/>
          <w:szCs w:val="24"/>
        </w:rPr>
        <w:t>《检测和校准实验室能力的通用要求》、</w:t>
      </w:r>
      <w:r>
        <w:rPr>
          <w:rFonts w:hint="eastAsia"/>
          <w:sz w:val="24"/>
          <w:szCs w:val="24"/>
        </w:rPr>
        <w:t>HJ 166</w:t>
      </w:r>
      <w:r>
        <w:rPr>
          <w:sz w:val="24"/>
          <w:szCs w:val="24"/>
        </w:rPr>
        <w:t>《</w:t>
      </w:r>
      <w:r>
        <w:rPr>
          <w:rFonts w:hint="eastAsia"/>
          <w:sz w:val="24"/>
          <w:szCs w:val="24"/>
        </w:rPr>
        <w:t>土壤环境监测技术规范</w:t>
      </w:r>
      <w:r>
        <w:rPr>
          <w:sz w:val="24"/>
          <w:szCs w:val="24"/>
        </w:rPr>
        <w:t>》、</w:t>
      </w:r>
      <w:r>
        <w:rPr>
          <w:sz w:val="24"/>
          <w:szCs w:val="24"/>
        </w:rPr>
        <w:t xml:space="preserve">GB/T 31190 </w:t>
      </w:r>
      <w:r>
        <w:rPr>
          <w:sz w:val="24"/>
          <w:szCs w:val="24"/>
        </w:rPr>
        <w:t>实验室废弃化学品收集技术规范、</w:t>
      </w:r>
      <w:r>
        <w:rPr>
          <w:sz w:val="24"/>
          <w:szCs w:val="24"/>
        </w:rPr>
        <w:t xml:space="preserve">‌GB 18597 </w:t>
      </w:r>
      <w:r>
        <w:rPr>
          <w:sz w:val="24"/>
          <w:szCs w:val="24"/>
        </w:rPr>
        <w:t>《危险废物贮存污染控制标准》</w:t>
      </w:r>
      <w:r>
        <w:rPr>
          <w:rFonts w:hint="eastAsia"/>
          <w:sz w:val="24"/>
          <w:szCs w:val="24"/>
        </w:rPr>
        <w:t>等。</w:t>
      </w:r>
    </w:p>
    <w:p w14:paraId="40876568"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bookmarkStart w:id="7" w:name="_Toc6392"/>
      <w:r>
        <w:rPr>
          <w:rFonts w:ascii="黑体" w:eastAsia="黑体" w:hAnsi="黑体" w:cs="黑体" w:hint="eastAsia"/>
          <w:sz w:val="28"/>
          <w:szCs w:val="28"/>
        </w:rPr>
        <w:t>3  主要内容</w:t>
      </w:r>
      <w:bookmarkEnd w:id="7"/>
      <w:r>
        <w:rPr>
          <w:rFonts w:ascii="黑体" w:eastAsia="黑体" w:hAnsi="黑体" w:cs="黑体" w:hint="eastAsia"/>
          <w:sz w:val="28"/>
          <w:szCs w:val="28"/>
        </w:rPr>
        <w:t>的确立</w:t>
      </w:r>
    </w:p>
    <w:p w14:paraId="254A1456" w14:textId="77777777" w:rsidR="00D51D8C" w:rsidRDefault="00000000">
      <w:pPr>
        <w:spacing w:line="360" w:lineRule="auto"/>
        <w:ind w:firstLineChars="200" w:firstLine="480"/>
        <w:rPr>
          <w:sz w:val="24"/>
          <w:szCs w:val="24"/>
        </w:rPr>
      </w:pPr>
      <w:r>
        <w:rPr>
          <w:rFonts w:hint="eastAsia"/>
          <w:sz w:val="24"/>
          <w:szCs w:val="24"/>
        </w:rPr>
        <w:t>本文件规定了分析仪器智能化系统</w:t>
      </w:r>
      <w:r>
        <w:rPr>
          <w:rFonts w:hint="eastAsia"/>
          <w:sz w:val="24"/>
          <w:szCs w:val="24"/>
        </w:rPr>
        <w:t xml:space="preserve"> </w:t>
      </w:r>
      <w:r>
        <w:rPr>
          <w:rFonts w:hint="eastAsia"/>
          <w:sz w:val="24"/>
          <w:szCs w:val="24"/>
        </w:rPr>
        <w:t>第</w:t>
      </w:r>
      <w:r>
        <w:rPr>
          <w:rFonts w:hint="eastAsia"/>
          <w:sz w:val="24"/>
          <w:szCs w:val="24"/>
        </w:rPr>
        <w:t xml:space="preserve"> </w:t>
      </w:r>
      <w:r>
        <w:rPr>
          <w:sz w:val="24"/>
          <w:szCs w:val="24"/>
        </w:rPr>
        <w:t>4</w:t>
      </w:r>
      <w:r>
        <w:rPr>
          <w:rFonts w:hint="eastAsia"/>
          <w:sz w:val="24"/>
          <w:szCs w:val="24"/>
        </w:rPr>
        <w:t xml:space="preserve"> </w:t>
      </w:r>
      <w:r>
        <w:rPr>
          <w:rFonts w:hint="eastAsia"/>
          <w:sz w:val="24"/>
          <w:szCs w:val="24"/>
        </w:rPr>
        <w:t>部分：</w:t>
      </w:r>
      <w:r>
        <w:rPr>
          <w:sz w:val="24"/>
          <w:szCs w:val="24"/>
        </w:rPr>
        <w:t>固体检测</w:t>
      </w:r>
      <w:r>
        <w:rPr>
          <w:rFonts w:hint="eastAsia"/>
          <w:sz w:val="24"/>
          <w:szCs w:val="24"/>
        </w:rPr>
        <w:t>系统技术规范的应用范围，基本术语定义，智能</w:t>
      </w:r>
      <w:r>
        <w:rPr>
          <w:sz w:val="24"/>
          <w:szCs w:val="24"/>
        </w:rPr>
        <w:t>固体检测</w:t>
      </w:r>
      <w:r>
        <w:rPr>
          <w:rFonts w:hint="eastAsia"/>
          <w:sz w:val="24"/>
          <w:szCs w:val="24"/>
        </w:rPr>
        <w:t>系统建设技术要求及维护技术要求。</w:t>
      </w:r>
    </w:p>
    <w:p w14:paraId="25FADAA5" w14:textId="77777777" w:rsidR="00D51D8C" w:rsidRDefault="00000000">
      <w:pPr>
        <w:spacing w:line="360" w:lineRule="auto"/>
        <w:ind w:firstLineChars="200" w:firstLine="480"/>
        <w:rPr>
          <w:sz w:val="24"/>
          <w:szCs w:val="24"/>
        </w:rPr>
      </w:pPr>
      <w:r>
        <w:rPr>
          <w:rFonts w:hint="eastAsia"/>
          <w:sz w:val="24"/>
          <w:szCs w:val="24"/>
        </w:rPr>
        <w:t>本文件由</w:t>
      </w:r>
      <w:r>
        <w:rPr>
          <w:sz w:val="24"/>
          <w:szCs w:val="24"/>
        </w:rPr>
        <w:t>6</w:t>
      </w:r>
      <w:r>
        <w:rPr>
          <w:rFonts w:hint="eastAsia"/>
          <w:sz w:val="24"/>
          <w:szCs w:val="24"/>
        </w:rPr>
        <w:t>部分组成，包括：</w:t>
      </w:r>
    </w:p>
    <w:p w14:paraId="23A2B6A6" w14:textId="77777777" w:rsidR="00D51D8C" w:rsidRDefault="00000000">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）范围</w:t>
      </w:r>
    </w:p>
    <w:p w14:paraId="3445B574" w14:textId="77777777" w:rsidR="00D51D8C" w:rsidRDefault="00000000">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）规范性引用文件</w:t>
      </w:r>
    </w:p>
    <w:p w14:paraId="714EF0FD" w14:textId="77777777" w:rsidR="00D51D8C" w:rsidRDefault="00000000">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）术语和定义</w:t>
      </w:r>
    </w:p>
    <w:p w14:paraId="7C800F8B" w14:textId="77777777" w:rsidR="00D51D8C" w:rsidRDefault="00000000">
      <w:pPr>
        <w:spacing w:line="360"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w:t>
      </w:r>
      <w:r>
        <w:rPr>
          <w:sz w:val="24"/>
          <w:szCs w:val="24"/>
        </w:rPr>
        <w:t>固体检测</w:t>
      </w:r>
      <w:r>
        <w:rPr>
          <w:rFonts w:hint="eastAsia"/>
          <w:sz w:val="24"/>
          <w:szCs w:val="24"/>
        </w:rPr>
        <w:t>智能</w:t>
      </w:r>
      <w:r>
        <w:rPr>
          <w:sz w:val="24"/>
          <w:szCs w:val="24"/>
        </w:rPr>
        <w:t>化</w:t>
      </w:r>
      <w:r>
        <w:rPr>
          <w:rFonts w:hint="eastAsia"/>
          <w:sz w:val="24"/>
          <w:szCs w:val="24"/>
        </w:rPr>
        <w:t>系统</w:t>
      </w:r>
      <w:r>
        <w:rPr>
          <w:sz w:val="24"/>
          <w:szCs w:val="24"/>
        </w:rPr>
        <w:t>工作流程</w:t>
      </w:r>
    </w:p>
    <w:p w14:paraId="57E14E97" w14:textId="77777777" w:rsidR="00D51D8C" w:rsidRDefault="00000000">
      <w:pPr>
        <w:spacing w:line="360" w:lineRule="auto"/>
        <w:ind w:firstLineChars="200" w:firstLine="480"/>
        <w:rPr>
          <w:sz w:val="24"/>
          <w:szCs w:val="24"/>
        </w:rPr>
      </w:pPr>
      <w:r>
        <w:rPr>
          <w:rFonts w:hint="eastAsia"/>
          <w:sz w:val="24"/>
          <w:szCs w:val="24"/>
        </w:rPr>
        <w:t>（</w:t>
      </w:r>
      <w:r>
        <w:rPr>
          <w:rFonts w:hint="eastAsia"/>
          <w:sz w:val="24"/>
          <w:szCs w:val="24"/>
        </w:rPr>
        <w:t>5</w:t>
      </w:r>
      <w:r>
        <w:rPr>
          <w:rFonts w:hint="eastAsia"/>
          <w:sz w:val="24"/>
          <w:szCs w:val="24"/>
        </w:rPr>
        <w:t>）</w:t>
      </w:r>
      <w:r>
        <w:rPr>
          <w:sz w:val="24"/>
          <w:szCs w:val="24"/>
        </w:rPr>
        <w:t>固体检测</w:t>
      </w:r>
      <w:r>
        <w:rPr>
          <w:rFonts w:hint="eastAsia"/>
          <w:sz w:val="24"/>
          <w:szCs w:val="24"/>
        </w:rPr>
        <w:t>智能</w:t>
      </w:r>
      <w:r>
        <w:rPr>
          <w:sz w:val="24"/>
          <w:szCs w:val="24"/>
        </w:rPr>
        <w:t>化</w:t>
      </w:r>
      <w:r>
        <w:rPr>
          <w:rFonts w:hint="eastAsia"/>
          <w:sz w:val="24"/>
          <w:szCs w:val="24"/>
        </w:rPr>
        <w:t>系统</w:t>
      </w:r>
      <w:r>
        <w:rPr>
          <w:sz w:val="24"/>
          <w:szCs w:val="24"/>
        </w:rPr>
        <w:t>建设</w:t>
      </w:r>
      <w:r>
        <w:rPr>
          <w:rFonts w:hint="eastAsia"/>
          <w:sz w:val="24"/>
          <w:szCs w:val="24"/>
        </w:rPr>
        <w:t>技术要求</w:t>
      </w:r>
    </w:p>
    <w:p w14:paraId="7990E3DF" w14:textId="77777777" w:rsidR="00D51D8C" w:rsidRDefault="00000000">
      <w:pPr>
        <w:spacing w:line="360" w:lineRule="auto"/>
        <w:ind w:firstLineChars="200" w:firstLine="480"/>
        <w:rPr>
          <w:sz w:val="24"/>
          <w:szCs w:val="24"/>
        </w:rPr>
      </w:pPr>
      <w:r>
        <w:rPr>
          <w:sz w:val="24"/>
          <w:szCs w:val="24"/>
        </w:rPr>
        <w:t>（</w:t>
      </w:r>
      <w:r>
        <w:rPr>
          <w:sz w:val="24"/>
          <w:szCs w:val="24"/>
        </w:rPr>
        <w:t>6</w:t>
      </w:r>
      <w:r>
        <w:rPr>
          <w:sz w:val="24"/>
          <w:szCs w:val="24"/>
        </w:rPr>
        <w:t>）固体检测智能化系统运行维护技术要求</w:t>
      </w:r>
    </w:p>
    <w:p w14:paraId="4682ED3A" w14:textId="77777777" w:rsidR="00D51D8C" w:rsidRDefault="00000000">
      <w:pPr>
        <w:spacing w:line="360" w:lineRule="auto"/>
        <w:ind w:firstLineChars="0" w:firstLine="0"/>
        <w:outlineLvl w:val="1"/>
        <w:rPr>
          <w:rFonts w:ascii="黑体" w:eastAsia="黑体" w:hAnsi="黑体" w:cs="黑体" w:hint="eastAsia"/>
          <w:sz w:val="24"/>
          <w:szCs w:val="24"/>
        </w:rPr>
      </w:pPr>
      <w:bookmarkStart w:id="8" w:name="_Toc739"/>
      <w:r>
        <w:rPr>
          <w:rFonts w:ascii="黑体" w:eastAsia="黑体" w:hAnsi="黑体" w:cs="黑体" w:hint="eastAsia"/>
          <w:sz w:val="24"/>
          <w:szCs w:val="24"/>
        </w:rPr>
        <w:t>3.1 范围</w:t>
      </w:r>
      <w:bookmarkEnd w:id="8"/>
    </w:p>
    <w:p w14:paraId="27D3B6CB" w14:textId="77777777" w:rsidR="00D51D8C" w:rsidRDefault="00000000">
      <w:pPr>
        <w:spacing w:line="360" w:lineRule="auto"/>
        <w:ind w:firstLineChars="200" w:firstLine="480"/>
        <w:rPr>
          <w:sz w:val="24"/>
          <w:szCs w:val="24"/>
        </w:rPr>
      </w:pPr>
      <w:r>
        <w:rPr>
          <w:rFonts w:hint="eastAsia"/>
          <w:sz w:val="24"/>
          <w:szCs w:val="24"/>
        </w:rPr>
        <w:t>本文件规定了固体检测智能化系统的工作流程、系统建设和运行维护技术要求。本文件适用于固体检测智能化系统的设计与建设、验收及运行维护，所涉及的固体样品包括土壤、沉积物、固体废物等环境类样品，矿砂、岩芯、煤炭等地质与矿业类样品，以及原糖、谷物、果蔬等农产品、食品类样品。其他固体类样品的智能化检测系统可参照本标准执行。</w:t>
      </w:r>
    </w:p>
    <w:p w14:paraId="001852BB" w14:textId="77777777" w:rsidR="00D51D8C"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3.2 规范性引用文件</w:t>
      </w:r>
    </w:p>
    <w:p w14:paraId="402A8043" w14:textId="77777777" w:rsidR="00D51D8C" w:rsidRDefault="00000000">
      <w:pPr>
        <w:spacing w:line="360" w:lineRule="auto"/>
        <w:ind w:firstLineChars="200" w:firstLine="480"/>
        <w:rPr>
          <w:sz w:val="24"/>
          <w:szCs w:val="24"/>
        </w:rPr>
      </w:pPr>
      <w:r>
        <w:rPr>
          <w:rFonts w:hint="eastAsia"/>
          <w:sz w:val="24"/>
          <w:szCs w:val="24"/>
        </w:rPr>
        <w:t>介绍本文件引用的各类标准文件。</w:t>
      </w:r>
    </w:p>
    <w:p w14:paraId="39876A40" w14:textId="77777777" w:rsidR="00D51D8C" w:rsidRDefault="00000000">
      <w:pPr>
        <w:spacing w:line="360" w:lineRule="auto"/>
        <w:ind w:firstLineChars="0" w:firstLine="0"/>
        <w:outlineLvl w:val="1"/>
        <w:rPr>
          <w:sz w:val="24"/>
          <w:szCs w:val="24"/>
        </w:rPr>
      </w:pPr>
      <w:r>
        <w:rPr>
          <w:rFonts w:ascii="黑体" w:eastAsia="黑体" w:hAnsi="黑体" w:cs="黑体" w:hint="eastAsia"/>
          <w:sz w:val="24"/>
          <w:szCs w:val="24"/>
        </w:rPr>
        <w:t>3.3 术语和定义</w:t>
      </w:r>
    </w:p>
    <w:p w14:paraId="1B03ED8C" w14:textId="77777777" w:rsidR="00D51D8C" w:rsidRDefault="00000000">
      <w:pPr>
        <w:pStyle w:val="a1"/>
        <w:numPr>
          <w:ilvl w:val="0"/>
          <w:numId w:val="0"/>
        </w:numPr>
        <w:spacing w:before="156" w:after="156"/>
        <w:ind w:firstLineChars="200" w:firstLine="482"/>
        <w:outlineLvl w:val="9"/>
        <w:rPr>
          <w:rFonts w:ascii="Times New Roman" w:eastAsia="宋体"/>
          <w:b/>
          <w:bCs/>
          <w:kern w:val="2"/>
          <w:sz w:val="24"/>
          <w:szCs w:val="24"/>
        </w:rPr>
      </w:pPr>
      <w:r>
        <w:rPr>
          <w:rFonts w:ascii="Times New Roman" w:eastAsia="宋体" w:hint="eastAsia"/>
          <w:b/>
          <w:bCs/>
          <w:kern w:val="2"/>
          <w:sz w:val="24"/>
          <w:szCs w:val="24"/>
        </w:rPr>
        <w:t>智能</w:t>
      </w:r>
      <w:r>
        <w:rPr>
          <w:rFonts w:ascii="Times New Roman" w:eastAsia="宋体"/>
          <w:b/>
          <w:bCs/>
          <w:kern w:val="2"/>
          <w:sz w:val="24"/>
          <w:szCs w:val="24"/>
        </w:rPr>
        <w:t>固体检测</w:t>
      </w:r>
      <w:r>
        <w:rPr>
          <w:rFonts w:ascii="Times New Roman" w:eastAsia="宋体" w:hint="eastAsia"/>
          <w:b/>
          <w:bCs/>
          <w:kern w:val="2"/>
          <w:sz w:val="24"/>
          <w:szCs w:val="24"/>
        </w:rPr>
        <w:t>系统</w:t>
      </w:r>
      <w:r>
        <w:rPr>
          <w:rFonts w:ascii="Times New Roman" w:eastAsia="宋体" w:hint="eastAsia"/>
          <w:b/>
          <w:bCs/>
          <w:kern w:val="2"/>
          <w:sz w:val="24"/>
          <w:szCs w:val="24"/>
        </w:rPr>
        <w:t xml:space="preserve"> </w:t>
      </w:r>
      <w:r>
        <w:rPr>
          <w:rFonts w:ascii="Times New Roman" w:eastAsia="宋体" w:hint="eastAsia"/>
          <w:kern w:val="2"/>
          <w:sz w:val="24"/>
          <w:szCs w:val="24"/>
        </w:rPr>
        <w:t xml:space="preserve">intelligent </w:t>
      </w:r>
      <w:r>
        <w:rPr>
          <w:rFonts w:ascii="Times New Roman" w:eastAsia="宋体"/>
          <w:kern w:val="2"/>
          <w:sz w:val="24"/>
          <w:szCs w:val="24"/>
        </w:rPr>
        <w:t>solid</w:t>
      </w:r>
      <w:r>
        <w:rPr>
          <w:rFonts w:ascii="Times New Roman" w:eastAsia="宋体" w:hint="eastAsia"/>
          <w:kern w:val="2"/>
          <w:sz w:val="24"/>
          <w:szCs w:val="24"/>
        </w:rPr>
        <w:t xml:space="preserve"> sample </w:t>
      </w:r>
      <w:r>
        <w:rPr>
          <w:rFonts w:ascii="Times New Roman" w:eastAsia="宋体"/>
          <w:kern w:val="2"/>
          <w:sz w:val="24"/>
          <w:szCs w:val="24"/>
        </w:rPr>
        <w:t>testing</w:t>
      </w:r>
      <w:r>
        <w:rPr>
          <w:rFonts w:ascii="Times New Roman" w:eastAsia="宋体" w:hint="eastAsia"/>
          <w:kern w:val="2"/>
          <w:sz w:val="24"/>
          <w:szCs w:val="24"/>
        </w:rPr>
        <w:t xml:space="preserve"> system</w:t>
      </w:r>
    </w:p>
    <w:p w14:paraId="00BCD49A" w14:textId="77777777" w:rsidR="00D51D8C" w:rsidRDefault="00000000">
      <w:pPr>
        <w:spacing w:line="360" w:lineRule="auto"/>
        <w:ind w:firstLineChars="200" w:firstLine="480"/>
        <w:rPr>
          <w:sz w:val="24"/>
          <w:szCs w:val="24"/>
        </w:rPr>
      </w:pPr>
      <w:r>
        <w:rPr>
          <w:rFonts w:hint="eastAsia"/>
          <w:sz w:val="24"/>
          <w:szCs w:val="24"/>
        </w:rPr>
        <w:t>在主控单元的统一调度下，集成固体样品的制备、取样、流转、前处理、分析检测、清洁、样品保存、试剂耗材管理、废物管理等单元，依托物联网、机器视觉、人工智能、机器人等技术，实现固体样品全流程智能化运行的系统。。</w:t>
      </w:r>
    </w:p>
    <w:p w14:paraId="6734C905" w14:textId="77777777" w:rsidR="00D51D8C" w:rsidRDefault="00000000">
      <w:pPr>
        <w:spacing w:line="360" w:lineRule="auto"/>
        <w:ind w:firstLineChars="200" w:firstLine="480"/>
        <w:rPr>
          <w:sz w:val="24"/>
          <w:szCs w:val="24"/>
        </w:rPr>
      </w:pPr>
      <w:r>
        <w:rPr>
          <w:rFonts w:hint="eastAsia"/>
          <w:sz w:val="24"/>
          <w:szCs w:val="24"/>
        </w:rPr>
        <w:lastRenderedPageBreak/>
        <w:t>定义</w:t>
      </w:r>
      <w:r>
        <w:rPr>
          <w:sz w:val="24"/>
          <w:szCs w:val="24"/>
        </w:rPr>
        <w:t>固体</w:t>
      </w:r>
      <w:r>
        <w:rPr>
          <w:rFonts w:hint="eastAsia"/>
          <w:sz w:val="24"/>
          <w:szCs w:val="24"/>
        </w:rPr>
        <w:t>检测智能化系统的功能和组成部分。</w:t>
      </w:r>
    </w:p>
    <w:p w14:paraId="6F10C40B" w14:textId="77777777" w:rsidR="00D51D8C" w:rsidRDefault="00D51D8C">
      <w:pPr>
        <w:spacing w:line="360" w:lineRule="auto"/>
        <w:ind w:firstLineChars="200" w:firstLine="480"/>
        <w:rPr>
          <w:sz w:val="24"/>
          <w:szCs w:val="24"/>
        </w:rPr>
      </w:pPr>
    </w:p>
    <w:p w14:paraId="713DCFA1" w14:textId="77777777" w:rsidR="00D51D8C"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 xml:space="preserve">3.4 </w:t>
      </w:r>
      <w:r>
        <w:rPr>
          <w:rFonts w:ascii="黑体" w:eastAsia="黑体" w:hAnsi="黑体" w:cs="黑体"/>
          <w:sz w:val="24"/>
          <w:szCs w:val="24"/>
        </w:rPr>
        <w:t>固体检测</w:t>
      </w:r>
      <w:r>
        <w:rPr>
          <w:rFonts w:ascii="黑体" w:eastAsia="黑体" w:hAnsi="黑体" w:cs="黑体" w:hint="eastAsia"/>
          <w:sz w:val="24"/>
          <w:szCs w:val="24"/>
        </w:rPr>
        <w:t>智能</w:t>
      </w:r>
      <w:r>
        <w:rPr>
          <w:rFonts w:ascii="黑体" w:eastAsia="黑体" w:hAnsi="黑体" w:cs="黑体"/>
          <w:sz w:val="24"/>
          <w:szCs w:val="24"/>
        </w:rPr>
        <w:t>化</w:t>
      </w:r>
      <w:r>
        <w:rPr>
          <w:rFonts w:ascii="黑体" w:eastAsia="黑体" w:hAnsi="黑体" w:cs="黑体" w:hint="eastAsia"/>
          <w:sz w:val="24"/>
          <w:szCs w:val="24"/>
        </w:rPr>
        <w:t>系统</w:t>
      </w:r>
      <w:r>
        <w:rPr>
          <w:rFonts w:ascii="黑体" w:eastAsia="黑体" w:hAnsi="黑体" w:cs="黑体"/>
          <w:sz w:val="24"/>
          <w:szCs w:val="24"/>
        </w:rPr>
        <w:t>工作流程</w:t>
      </w:r>
    </w:p>
    <w:p w14:paraId="6B535A95" w14:textId="77777777" w:rsidR="00D51D8C" w:rsidRDefault="00000000">
      <w:pPr>
        <w:spacing w:line="360" w:lineRule="auto"/>
        <w:ind w:firstLineChars="200" w:firstLine="480"/>
        <w:rPr>
          <w:sz w:val="24"/>
          <w:szCs w:val="24"/>
        </w:rPr>
      </w:pPr>
      <w:r>
        <w:rPr>
          <w:rFonts w:hint="eastAsia"/>
          <w:sz w:val="24"/>
          <w:szCs w:val="24"/>
        </w:rPr>
        <w:t>样品经采集后，送往固体检测智能化系统，由系统完成样品识别、样品制备、取样、样品流转、样品前处理、样品分析、样品保存、试剂耗材管理、废物管理等工作。</w:t>
      </w:r>
    </w:p>
    <w:p w14:paraId="77C6F326" w14:textId="77777777" w:rsidR="00D51D8C" w:rsidRDefault="00000000">
      <w:pPr>
        <w:spacing w:line="360" w:lineRule="auto"/>
        <w:ind w:firstLineChars="200" w:firstLine="480"/>
        <w:rPr>
          <w:sz w:val="24"/>
          <w:szCs w:val="24"/>
        </w:rPr>
      </w:pPr>
      <w:r>
        <w:rPr>
          <w:rFonts w:hint="eastAsia"/>
          <w:sz w:val="24"/>
          <w:szCs w:val="24"/>
        </w:rPr>
        <w:t>另附工作流程图。</w:t>
      </w:r>
    </w:p>
    <w:p w14:paraId="266ADDBC" w14:textId="77777777" w:rsidR="00D51D8C" w:rsidRDefault="00000000">
      <w:pPr>
        <w:spacing w:line="360" w:lineRule="auto"/>
        <w:ind w:firstLineChars="200" w:firstLine="480"/>
        <w:rPr>
          <w:sz w:val="24"/>
          <w:szCs w:val="24"/>
        </w:rPr>
      </w:pPr>
      <w:r>
        <w:rPr>
          <w:rFonts w:hint="eastAsia"/>
          <w:sz w:val="24"/>
          <w:szCs w:val="24"/>
        </w:rPr>
        <w:t>这里以流程图表述了系统工作流程及各单元之间的关系，主控单元与废物管理单元是涉及全流程的必备单元；试剂耗材管理单元与辅助单元是涉及全流程的非必备单元。</w:t>
      </w:r>
    </w:p>
    <w:p w14:paraId="6CC9428C" w14:textId="77777777" w:rsidR="00D51D8C" w:rsidRDefault="00D51D8C">
      <w:pPr>
        <w:spacing w:line="360" w:lineRule="auto"/>
        <w:ind w:firstLineChars="200" w:firstLine="480"/>
        <w:rPr>
          <w:sz w:val="24"/>
          <w:szCs w:val="24"/>
        </w:rPr>
      </w:pPr>
    </w:p>
    <w:p w14:paraId="000AD91E" w14:textId="77777777" w:rsidR="00D51D8C" w:rsidRDefault="00000000">
      <w:pPr>
        <w:spacing w:line="360" w:lineRule="auto"/>
        <w:ind w:firstLineChars="0" w:firstLine="0"/>
        <w:outlineLvl w:val="1"/>
        <w:rPr>
          <w:sz w:val="24"/>
          <w:szCs w:val="24"/>
        </w:rPr>
      </w:pPr>
      <w:r>
        <w:rPr>
          <w:rFonts w:ascii="黑体" w:eastAsia="黑体" w:hAnsi="黑体" w:cs="黑体" w:hint="eastAsia"/>
          <w:sz w:val="24"/>
          <w:szCs w:val="24"/>
        </w:rPr>
        <w:t>3.</w:t>
      </w:r>
      <w:r>
        <w:rPr>
          <w:rFonts w:ascii="黑体" w:eastAsia="黑体" w:hAnsi="黑体" w:cs="黑体"/>
          <w:sz w:val="24"/>
          <w:szCs w:val="24"/>
        </w:rPr>
        <w:t>5</w:t>
      </w:r>
      <w:r>
        <w:rPr>
          <w:rFonts w:ascii="黑体" w:eastAsia="黑体" w:hAnsi="黑体" w:cs="黑体" w:hint="eastAsia"/>
          <w:sz w:val="24"/>
          <w:szCs w:val="24"/>
        </w:rPr>
        <w:t xml:space="preserve"> </w:t>
      </w:r>
      <w:r>
        <w:rPr>
          <w:rFonts w:ascii="黑体" w:eastAsia="黑体" w:hAnsi="黑体" w:cs="黑体"/>
          <w:sz w:val="24"/>
          <w:szCs w:val="24"/>
        </w:rPr>
        <w:t>固体检测</w:t>
      </w:r>
      <w:r>
        <w:rPr>
          <w:rFonts w:ascii="黑体" w:eastAsia="黑体" w:hAnsi="黑体" w:cs="黑体" w:hint="eastAsia"/>
          <w:sz w:val="24"/>
          <w:szCs w:val="24"/>
        </w:rPr>
        <w:t>智能</w:t>
      </w:r>
      <w:r>
        <w:rPr>
          <w:rFonts w:ascii="黑体" w:eastAsia="黑体" w:hAnsi="黑体" w:cs="黑体"/>
          <w:sz w:val="24"/>
          <w:szCs w:val="24"/>
        </w:rPr>
        <w:t>化</w:t>
      </w:r>
      <w:r>
        <w:rPr>
          <w:rFonts w:ascii="黑体" w:eastAsia="黑体" w:hAnsi="黑体" w:cs="黑体" w:hint="eastAsia"/>
          <w:sz w:val="24"/>
          <w:szCs w:val="24"/>
        </w:rPr>
        <w:t>系统</w:t>
      </w:r>
      <w:r>
        <w:rPr>
          <w:rFonts w:ascii="黑体" w:eastAsia="黑体" w:hAnsi="黑体" w:cs="黑体"/>
          <w:sz w:val="24"/>
          <w:szCs w:val="24"/>
        </w:rPr>
        <w:t>建设技术要求</w:t>
      </w:r>
    </w:p>
    <w:p w14:paraId="3B3808E0"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w:t>
      </w:r>
      <w:r>
        <w:rPr>
          <w:rFonts w:ascii="黑体" w:eastAsia="黑体" w:hAnsi="黑体" w:cs="黑体"/>
          <w:sz w:val="24"/>
          <w:szCs w:val="24"/>
        </w:rPr>
        <w:t>5</w:t>
      </w:r>
      <w:r>
        <w:rPr>
          <w:rFonts w:ascii="黑体" w:eastAsia="黑体" w:hAnsi="黑体" w:cs="黑体" w:hint="eastAsia"/>
          <w:sz w:val="24"/>
          <w:szCs w:val="24"/>
        </w:rPr>
        <w:t>.1 总体要求</w:t>
      </w:r>
    </w:p>
    <w:p w14:paraId="6FB93CF6" w14:textId="77777777" w:rsidR="00D51D8C" w:rsidRDefault="00000000">
      <w:pPr>
        <w:spacing w:line="360" w:lineRule="auto"/>
        <w:ind w:firstLineChars="200" w:firstLine="480"/>
        <w:rPr>
          <w:sz w:val="24"/>
          <w:szCs w:val="24"/>
        </w:rPr>
      </w:pPr>
      <w:r>
        <w:rPr>
          <w:rFonts w:hint="eastAsia"/>
          <w:sz w:val="24"/>
          <w:szCs w:val="24"/>
        </w:rPr>
        <w:t>在这一节中</w:t>
      </w:r>
      <w:r>
        <w:rPr>
          <w:sz w:val="24"/>
          <w:szCs w:val="24"/>
        </w:rPr>
        <w:t>对不同等级系统的建设要求进行了详细的规定。</w:t>
      </w:r>
      <w:r>
        <w:rPr>
          <w:rFonts w:hint="eastAsia"/>
          <w:sz w:val="24"/>
          <w:szCs w:val="24"/>
        </w:rPr>
        <w:t>系统的设计和建设原则；基建设计</w:t>
      </w:r>
      <w:r>
        <w:rPr>
          <w:sz w:val="24"/>
          <w:szCs w:val="24"/>
        </w:rPr>
        <w:t>需</w:t>
      </w:r>
      <w:r>
        <w:rPr>
          <w:rFonts w:hint="eastAsia"/>
          <w:sz w:val="24"/>
          <w:szCs w:val="24"/>
        </w:rPr>
        <w:t>考虑的因素；</w:t>
      </w:r>
      <w:r>
        <w:rPr>
          <w:sz w:val="24"/>
          <w:szCs w:val="24"/>
        </w:rPr>
        <w:t>质量管理的要求；</w:t>
      </w:r>
      <w:r>
        <w:rPr>
          <w:rFonts w:hint="eastAsia"/>
          <w:sz w:val="24"/>
          <w:szCs w:val="24"/>
        </w:rPr>
        <w:t>系统稳定性的</w:t>
      </w:r>
      <w:r>
        <w:rPr>
          <w:sz w:val="24"/>
          <w:szCs w:val="24"/>
        </w:rPr>
        <w:t>要</w:t>
      </w:r>
      <w:r>
        <w:rPr>
          <w:rFonts w:hint="eastAsia"/>
          <w:sz w:val="24"/>
          <w:szCs w:val="24"/>
        </w:rPr>
        <w:t>求；系统</w:t>
      </w:r>
      <w:r>
        <w:rPr>
          <w:sz w:val="24"/>
          <w:szCs w:val="24"/>
        </w:rPr>
        <w:t>需</w:t>
      </w:r>
      <w:r>
        <w:rPr>
          <w:rFonts w:hint="eastAsia"/>
          <w:sz w:val="24"/>
          <w:szCs w:val="24"/>
        </w:rPr>
        <w:t>具</w:t>
      </w:r>
      <w:r>
        <w:rPr>
          <w:sz w:val="24"/>
          <w:szCs w:val="24"/>
        </w:rPr>
        <w:t>备</w:t>
      </w:r>
      <w:r>
        <w:rPr>
          <w:rFonts w:hint="eastAsia"/>
          <w:sz w:val="24"/>
          <w:szCs w:val="24"/>
        </w:rPr>
        <w:t>的扩展性和兼容性</w:t>
      </w:r>
      <w:r>
        <w:rPr>
          <w:sz w:val="24"/>
          <w:szCs w:val="24"/>
        </w:rPr>
        <w:t>等</w:t>
      </w:r>
      <w:r>
        <w:rPr>
          <w:rFonts w:hint="eastAsia"/>
          <w:sz w:val="24"/>
          <w:szCs w:val="24"/>
        </w:rPr>
        <w:t>。</w:t>
      </w:r>
    </w:p>
    <w:p w14:paraId="30648AB3" w14:textId="77777777" w:rsidR="00D51D8C" w:rsidRDefault="00000000">
      <w:pPr>
        <w:spacing w:line="360" w:lineRule="auto"/>
        <w:ind w:firstLineChars="200" w:firstLine="480"/>
        <w:rPr>
          <w:sz w:val="24"/>
          <w:szCs w:val="24"/>
        </w:rPr>
      </w:pPr>
      <w:r>
        <w:rPr>
          <w:sz w:val="24"/>
          <w:szCs w:val="24"/>
        </w:rPr>
        <w:t>其中</w:t>
      </w:r>
      <w:r>
        <w:rPr>
          <w:sz w:val="24"/>
          <w:szCs w:val="24"/>
        </w:rPr>
        <w:t>3</w:t>
      </w:r>
      <w:r>
        <w:rPr>
          <w:sz w:val="24"/>
          <w:szCs w:val="24"/>
        </w:rPr>
        <w:t>级固体检测智能化系统要求系统应满足</w:t>
      </w:r>
      <w:proofErr w:type="gramStart"/>
      <w:r>
        <w:rPr>
          <w:sz w:val="24"/>
          <w:szCs w:val="24"/>
        </w:rPr>
        <w:t>连续连续</w:t>
      </w:r>
      <w:proofErr w:type="gramEnd"/>
      <w:r>
        <w:rPr>
          <w:sz w:val="24"/>
          <w:szCs w:val="24"/>
        </w:rPr>
        <w:t>72</w:t>
      </w:r>
      <w:r>
        <w:rPr>
          <w:sz w:val="24"/>
          <w:szCs w:val="24"/>
        </w:rPr>
        <w:t>小时无故障检测；</w:t>
      </w:r>
      <w:r>
        <w:rPr>
          <w:sz w:val="24"/>
          <w:szCs w:val="24"/>
        </w:rPr>
        <w:t>72</w:t>
      </w:r>
      <w:r>
        <w:rPr>
          <w:sz w:val="24"/>
          <w:szCs w:val="24"/>
        </w:rPr>
        <w:t>小时</w:t>
      </w:r>
    </w:p>
    <w:p w14:paraId="1C29CD12"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3.4.2</w:t>
      </w:r>
      <w:r>
        <w:rPr>
          <w:rFonts w:ascii="黑体" w:eastAsia="黑体" w:hAnsi="黑体" w:cs="黑体"/>
          <w:sz w:val="24"/>
          <w:szCs w:val="24"/>
        </w:rPr>
        <w:t xml:space="preserve"> 主控单元</w:t>
      </w:r>
      <w:r>
        <w:rPr>
          <w:rFonts w:ascii="黑体" w:eastAsia="黑体" w:hAnsi="黑体" w:cs="黑体" w:hint="eastAsia"/>
          <w:sz w:val="24"/>
          <w:szCs w:val="24"/>
        </w:rPr>
        <w:t xml:space="preserve"> </w:t>
      </w:r>
    </w:p>
    <w:p w14:paraId="0AACEF6D" w14:textId="77777777" w:rsidR="00D51D8C" w:rsidRDefault="00000000">
      <w:pPr>
        <w:spacing w:line="360" w:lineRule="auto"/>
        <w:ind w:firstLineChars="200" w:firstLine="480"/>
        <w:rPr>
          <w:rFonts w:ascii="黑体" w:eastAsia="黑体" w:hAnsi="黑体" w:cs="黑体" w:hint="eastAsia"/>
          <w:sz w:val="24"/>
          <w:szCs w:val="24"/>
        </w:rPr>
      </w:pPr>
      <w:r>
        <w:rPr>
          <w:rFonts w:hint="eastAsia"/>
          <w:sz w:val="24"/>
          <w:szCs w:val="24"/>
        </w:rPr>
        <w:t>在这一节中，对</w:t>
      </w:r>
      <w:r>
        <w:rPr>
          <w:sz w:val="24"/>
          <w:szCs w:val="24"/>
        </w:rPr>
        <w:t>固体</w:t>
      </w:r>
      <w:r>
        <w:rPr>
          <w:rFonts w:hint="eastAsia"/>
          <w:sz w:val="24"/>
          <w:szCs w:val="24"/>
        </w:rPr>
        <w:t>检测智能化系统配置的主控单元按照级别进行了技术要求的规定，包括样品流转过程、样品前处理过程、检测过程、数据处理和管理、质控管理、系统对样品的调度、系统对各单元的控制与监控、智能诊断、检测方法优化等的一系列功能。</w:t>
      </w:r>
    </w:p>
    <w:p w14:paraId="2769F1CE"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 xml:space="preserve">3.4.3 </w:t>
      </w:r>
      <w:r>
        <w:rPr>
          <w:rFonts w:ascii="黑体" w:eastAsia="黑体" w:hAnsi="黑体" w:cs="黑体"/>
          <w:sz w:val="24"/>
          <w:szCs w:val="24"/>
        </w:rPr>
        <w:t>样品识别单元</w:t>
      </w:r>
    </w:p>
    <w:p w14:paraId="266E3112" w14:textId="77777777" w:rsidR="00D51D8C" w:rsidRDefault="00000000">
      <w:pPr>
        <w:spacing w:line="360" w:lineRule="auto"/>
        <w:ind w:firstLineChars="0" w:firstLine="0"/>
        <w:rPr>
          <w:rFonts w:ascii="黑体" w:eastAsia="黑体" w:hAnsi="黑体" w:cs="黑体" w:hint="eastAsia"/>
          <w:sz w:val="24"/>
          <w:szCs w:val="24"/>
        </w:rPr>
      </w:pPr>
      <w:r>
        <w:rPr>
          <w:sz w:val="24"/>
          <w:szCs w:val="24"/>
        </w:rPr>
        <w:t xml:space="preserve">  </w:t>
      </w:r>
      <w:r>
        <w:rPr>
          <w:rFonts w:hint="eastAsia"/>
          <w:sz w:val="24"/>
          <w:szCs w:val="24"/>
        </w:rPr>
        <w:t>在这一节中，对样品</w:t>
      </w:r>
      <w:r>
        <w:rPr>
          <w:sz w:val="24"/>
          <w:szCs w:val="24"/>
        </w:rPr>
        <w:t>识别</w:t>
      </w:r>
      <w:r>
        <w:rPr>
          <w:rFonts w:hint="eastAsia"/>
          <w:sz w:val="24"/>
          <w:szCs w:val="24"/>
        </w:rPr>
        <w:t>单元按照级别应具有的功能进行了说明。</w:t>
      </w:r>
    </w:p>
    <w:p w14:paraId="6C5D5315"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sz w:val="24"/>
          <w:szCs w:val="24"/>
        </w:rPr>
        <w:t>3.4.4 样品制备单元</w:t>
      </w:r>
    </w:p>
    <w:p w14:paraId="53493AC6" w14:textId="77777777" w:rsidR="00D51D8C" w:rsidRDefault="00000000">
      <w:pPr>
        <w:pStyle w:val="a"/>
        <w:numPr>
          <w:ilvl w:val="0"/>
          <w:numId w:val="0"/>
        </w:numPr>
        <w:spacing w:line="360" w:lineRule="auto"/>
        <w:rPr>
          <w:rFonts w:ascii="Times New Roman"/>
          <w:b/>
          <w:bCs/>
          <w:kern w:val="2"/>
          <w:sz w:val="24"/>
          <w:szCs w:val="24"/>
        </w:rPr>
      </w:pPr>
      <w:r>
        <w:rPr>
          <w:rFonts w:ascii="Times New Roman"/>
          <w:b/>
          <w:bCs/>
          <w:kern w:val="2"/>
          <w:sz w:val="24"/>
          <w:szCs w:val="24"/>
        </w:rPr>
        <w:t xml:space="preserve">  </w:t>
      </w:r>
      <w:r>
        <w:rPr>
          <w:rFonts w:ascii="Times New Roman" w:hint="eastAsia"/>
          <w:b/>
          <w:bCs/>
          <w:kern w:val="2"/>
          <w:sz w:val="24"/>
          <w:szCs w:val="24"/>
        </w:rPr>
        <w:t>在这一节中，对样品</w:t>
      </w:r>
      <w:r>
        <w:rPr>
          <w:rFonts w:ascii="Times New Roman"/>
          <w:b/>
          <w:bCs/>
          <w:kern w:val="2"/>
          <w:sz w:val="24"/>
          <w:szCs w:val="24"/>
        </w:rPr>
        <w:t>制备单元</w:t>
      </w:r>
      <w:r>
        <w:rPr>
          <w:rFonts w:ascii="Times New Roman" w:hint="eastAsia"/>
          <w:b/>
          <w:bCs/>
          <w:kern w:val="2"/>
          <w:sz w:val="24"/>
          <w:szCs w:val="24"/>
        </w:rPr>
        <w:t>按照级别应具有的功能进行了说明。</w:t>
      </w:r>
    </w:p>
    <w:p w14:paraId="3B60985E"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3.4.</w:t>
      </w:r>
      <w:r>
        <w:rPr>
          <w:rFonts w:ascii="黑体" w:eastAsia="黑体" w:hAnsi="黑体" w:cs="黑体"/>
          <w:sz w:val="24"/>
          <w:szCs w:val="24"/>
        </w:rPr>
        <w:t>5</w:t>
      </w:r>
      <w:r>
        <w:rPr>
          <w:rFonts w:ascii="黑体" w:eastAsia="黑体" w:hAnsi="黑体" w:cs="黑体"/>
          <w:sz w:val="24"/>
          <w:szCs w:val="24"/>
        </w:rPr>
        <w:tab/>
        <w:t>取样单元</w:t>
      </w:r>
    </w:p>
    <w:p w14:paraId="03C23135" w14:textId="77777777" w:rsidR="00D51D8C" w:rsidRDefault="00000000">
      <w:pPr>
        <w:ind w:firstLineChars="0" w:firstLine="0"/>
        <w:outlineLvl w:val="2"/>
        <w:rPr>
          <w:sz w:val="24"/>
          <w:szCs w:val="24"/>
        </w:rPr>
      </w:pPr>
      <w:r>
        <w:rPr>
          <w:b/>
          <w:bCs/>
          <w:sz w:val="24"/>
          <w:szCs w:val="24"/>
        </w:rPr>
        <w:t xml:space="preserve">  </w:t>
      </w:r>
      <w:r>
        <w:rPr>
          <w:rFonts w:hint="eastAsia"/>
          <w:b/>
          <w:bCs/>
          <w:sz w:val="24"/>
          <w:szCs w:val="24"/>
        </w:rPr>
        <w:t>在这一节中，对</w:t>
      </w:r>
      <w:r>
        <w:rPr>
          <w:b/>
          <w:bCs/>
          <w:sz w:val="24"/>
          <w:szCs w:val="24"/>
        </w:rPr>
        <w:t>取样单元</w:t>
      </w:r>
      <w:r>
        <w:rPr>
          <w:rFonts w:hint="eastAsia"/>
          <w:b/>
          <w:bCs/>
          <w:sz w:val="24"/>
          <w:szCs w:val="24"/>
        </w:rPr>
        <w:t>按照级别应具有的功能进行了说明。</w:t>
      </w:r>
    </w:p>
    <w:p w14:paraId="4BE676AD"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3.4.</w:t>
      </w:r>
      <w:r>
        <w:rPr>
          <w:rFonts w:ascii="黑体" w:eastAsia="黑体" w:hAnsi="黑体" w:cs="黑体"/>
          <w:sz w:val="24"/>
          <w:szCs w:val="24"/>
        </w:rPr>
        <w:t xml:space="preserve">6 </w:t>
      </w:r>
      <w:r>
        <w:rPr>
          <w:rFonts w:ascii="黑体" w:eastAsia="黑体" w:hAnsi="黑体" w:cs="黑体" w:hint="eastAsia"/>
          <w:sz w:val="24"/>
          <w:szCs w:val="24"/>
        </w:rPr>
        <w:t>样</w:t>
      </w:r>
      <w:r>
        <w:rPr>
          <w:rFonts w:ascii="黑体" w:eastAsia="黑体" w:hAnsi="黑体" w:cs="黑体"/>
          <w:sz w:val="24"/>
          <w:szCs w:val="24"/>
        </w:rPr>
        <w:t>品流转单元</w:t>
      </w:r>
    </w:p>
    <w:p w14:paraId="63639C11" w14:textId="77777777" w:rsidR="00D51D8C" w:rsidRDefault="00000000">
      <w:pPr>
        <w:ind w:firstLineChars="0" w:firstLine="0"/>
        <w:outlineLvl w:val="2"/>
        <w:rPr>
          <w:sz w:val="24"/>
          <w:szCs w:val="24"/>
        </w:rPr>
      </w:pPr>
      <w:r>
        <w:rPr>
          <w:b/>
          <w:bCs/>
          <w:sz w:val="24"/>
          <w:szCs w:val="24"/>
        </w:rPr>
        <w:lastRenderedPageBreak/>
        <w:t xml:space="preserve">  </w:t>
      </w:r>
      <w:r>
        <w:rPr>
          <w:rFonts w:hint="eastAsia"/>
          <w:b/>
          <w:bCs/>
          <w:sz w:val="24"/>
          <w:szCs w:val="24"/>
        </w:rPr>
        <w:t>在这一节中，对样品</w:t>
      </w:r>
      <w:r>
        <w:rPr>
          <w:b/>
          <w:bCs/>
          <w:sz w:val="24"/>
          <w:szCs w:val="24"/>
        </w:rPr>
        <w:t>流转单元</w:t>
      </w:r>
      <w:r>
        <w:rPr>
          <w:rFonts w:hint="eastAsia"/>
          <w:b/>
          <w:bCs/>
          <w:sz w:val="24"/>
          <w:szCs w:val="24"/>
        </w:rPr>
        <w:t>按照级别应具有的功能进行了说明。</w:t>
      </w:r>
    </w:p>
    <w:p w14:paraId="7F67347A"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 xml:space="preserve">3.4.7 </w:t>
      </w:r>
      <w:r>
        <w:rPr>
          <w:rFonts w:ascii="黑体" w:eastAsia="黑体" w:hAnsi="黑体" w:cs="黑体"/>
          <w:sz w:val="24"/>
          <w:szCs w:val="24"/>
        </w:rPr>
        <w:t>样品前处理单元</w:t>
      </w:r>
    </w:p>
    <w:p w14:paraId="355539A3" w14:textId="77777777" w:rsidR="00D51D8C" w:rsidRDefault="00000000">
      <w:pPr>
        <w:ind w:firstLineChars="0" w:firstLine="0"/>
        <w:outlineLvl w:val="2"/>
        <w:rPr>
          <w:sz w:val="24"/>
          <w:szCs w:val="24"/>
        </w:rPr>
      </w:pPr>
      <w:r>
        <w:rPr>
          <w:b/>
          <w:bCs/>
          <w:sz w:val="24"/>
          <w:szCs w:val="24"/>
        </w:rPr>
        <w:t xml:space="preserve">  </w:t>
      </w:r>
      <w:r>
        <w:rPr>
          <w:rFonts w:hint="eastAsia"/>
          <w:b/>
          <w:bCs/>
          <w:sz w:val="24"/>
          <w:szCs w:val="24"/>
        </w:rPr>
        <w:t>在这一节中，对样品</w:t>
      </w:r>
      <w:r>
        <w:rPr>
          <w:b/>
          <w:bCs/>
          <w:sz w:val="24"/>
          <w:szCs w:val="24"/>
        </w:rPr>
        <w:t>前处理单元</w:t>
      </w:r>
      <w:r>
        <w:rPr>
          <w:rFonts w:hint="eastAsia"/>
          <w:b/>
          <w:bCs/>
          <w:sz w:val="24"/>
          <w:szCs w:val="24"/>
        </w:rPr>
        <w:t>按照级别应具有的功能进行了说明。</w:t>
      </w:r>
    </w:p>
    <w:p w14:paraId="2190EBDF"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 xml:space="preserve">3.4.8 </w:t>
      </w:r>
      <w:r>
        <w:rPr>
          <w:rFonts w:ascii="黑体" w:eastAsia="黑体" w:hAnsi="黑体" w:cs="黑体"/>
          <w:sz w:val="24"/>
          <w:szCs w:val="24"/>
        </w:rPr>
        <w:t>分析仪器单元</w:t>
      </w:r>
    </w:p>
    <w:p w14:paraId="4FB592B1" w14:textId="77777777" w:rsidR="00D51D8C" w:rsidRDefault="00000000">
      <w:pPr>
        <w:spacing w:line="360" w:lineRule="auto"/>
        <w:ind w:firstLineChars="200" w:firstLine="480"/>
        <w:rPr>
          <w:sz w:val="24"/>
          <w:szCs w:val="24"/>
        </w:rPr>
      </w:pPr>
      <w:r>
        <w:rPr>
          <w:rFonts w:hint="eastAsia"/>
          <w:sz w:val="24"/>
          <w:szCs w:val="24"/>
        </w:rPr>
        <w:t>分析仪器单元是系统的核心部分，由满足各检测项目要求的仪器完成。仪器的选择原则为仪器性能符合国家、行业标准规定分析方法要求，所选择的仪器配置合理，性能稳定，运行维护成本合理。分析仪器具有平稳、牢固的特点，其材质具有耐磨、抗腐蚀等特点。</w:t>
      </w:r>
    </w:p>
    <w:p w14:paraId="03C9717D" w14:textId="77777777" w:rsidR="00D51D8C" w:rsidRDefault="00000000">
      <w:pPr>
        <w:spacing w:line="360" w:lineRule="auto"/>
        <w:ind w:firstLineChars="200" w:firstLine="480"/>
        <w:rPr>
          <w:sz w:val="24"/>
          <w:szCs w:val="24"/>
        </w:rPr>
      </w:pPr>
      <w:r>
        <w:rPr>
          <w:rFonts w:hint="eastAsia"/>
          <w:sz w:val="24"/>
          <w:szCs w:val="24"/>
        </w:rPr>
        <w:t>在这一节中，对样品</w:t>
      </w:r>
      <w:r>
        <w:rPr>
          <w:sz w:val="24"/>
          <w:szCs w:val="24"/>
        </w:rPr>
        <w:t>保存</w:t>
      </w:r>
      <w:r>
        <w:rPr>
          <w:rFonts w:hint="eastAsia"/>
          <w:sz w:val="24"/>
          <w:szCs w:val="24"/>
        </w:rPr>
        <w:t>单元按照级别应具有的功能进行了说明</w:t>
      </w:r>
    </w:p>
    <w:p w14:paraId="62136C13"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 xml:space="preserve">3.4.9 </w:t>
      </w:r>
      <w:r>
        <w:rPr>
          <w:rFonts w:ascii="黑体" w:eastAsia="黑体" w:hAnsi="黑体" w:cs="黑体"/>
          <w:sz w:val="24"/>
          <w:szCs w:val="24"/>
        </w:rPr>
        <w:t>试剂耗材管理单元</w:t>
      </w:r>
    </w:p>
    <w:p w14:paraId="1E26006D" w14:textId="77777777" w:rsidR="00D51D8C" w:rsidRDefault="00000000">
      <w:pPr>
        <w:spacing w:line="360" w:lineRule="auto"/>
        <w:ind w:firstLineChars="200" w:firstLine="480"/>
        <w:rPr>
          <w:sz w:val="24"/>
          <w:szCs w:val="24"/>
        </w:rPr>
      </w:pPr>
      <w:r>
        <w:rPr>
          <w:rFonts w:hint="eastAsia"/>
          <w:sz w:val="24"/>
          <w:szCs w:val="24"/>
        </w:rPr>
        <w:t>在这一节中，对</w:t>
      </w:r>
      <w:r>
        <w:rPr>
          <w:sz w:val="24"/>
          <w:szCs w:val="24"/>
        </w:rPr>
        <w:t>试剂耗材管理</w:t>
      </w:r>
      <w:r>
        <w:rPr>
          <w:rFonts w:hint="eastAsia"/>
          <w:sz w:val="24"/>
          <w:szCs w:val="24"/>
        </w:rPr>
        <w:t>单元按照级别应具有的功能进行了说明。</w:t>
      </w:r>
    </w:p>
    <w:p w14:paraId="32EB222D"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 xml:space="preserve">3.4.10 </w:t>
      </w:r>
      <w:r>
        <w:rPr>
          <w:rFonts w:ascii="黑体" w:eastAsia="黑体" w:hAnsi="黑体" w:cs="黑体"/>
          <w:sz w:val="24"/>
          <w:szCs w:val="24"/>
        </w:rPr>
        <w:t>废物管理单元</w:t>
      </w:r>
    </w:p>
    <w:p w14:paraId="018AE441" w14:textId="77777777" w:rsidR="00D51D8C" w:rsidRDefault="00000000">
      <w:pPr>
        <w:ind w:left="425" w:firstLineChars="200" w:firstLine="480"/>
        <w:rPr>
          <w:b/>
          <w:bCs/>
          <w:sz w:val="24"/>
          <w:szCs w:val="24"/>
        </w:rPr>
      </w:pPr>
      <w:r>
        <w:rPr>
          <w:rFonts w:hint="eastAsia"/>
          <w:sz w:val="24"/>
          <w:szCs w:val="24"/>
        </w:rPr>
        <w:t>在这一节中，对废物管理单元照级别应具有的功能进行了说明。</w:t>
      </w:r>
    </w:p>
    <w:p w14:paraId="4863452A" w14:textId="77777777" w:rsidR="00D51D8C"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3.4.1</w:t>
      </w:r>
      <w:r>
        <w:rPr>
          <w:rFonts w:ascii="黑体" w:eastAsia="黑体" w:hAnsi="黑体" w:cs="黑体"/>
          <w:sz w:val="24"/>
          <w:szCs w:val="24"/>
        </w:rPr>
        <w:t>1</w:t>
      </w:r>
      <w:r>
        <w:rPr>
          <w:rFonts w:ascii="黑体" w:eastAsia="黑体" w:hAnsi="黑体" w:cs="黑体" w:hint="eastAsia"/>
          <w:sz w:val="24"/>
          <w:szCs w:val="24"/>
        </w:rPr>
        <w:t xml:space="preserve"> </w:t>
      </w:r>
      <w:r>
        <w:rPr>
          <w:rFonts w:ascii="黑体" w:eastAsia="黑体" w:hAnsi="黑体" w:cs="黑体"/>
          <w:sz w:val="24"/>
          <w:szCs w:val="24"/>
        </w:rPr>
        <w:t>辅助单元</w:t>
      </w:r>
    </w:p>
    <w:p w14:paraId="236134E7" w14:textId="77777777" w:rsidR="00D51D8C" w:rsidRDefault="00000000">
      <w:pPr>
        <w:spacing w:line="360" w:lineRule="auto"/>
        <w:ind w:firstLineChars="200" w:firstLine="480"/>
        <w:rPr>
          <w:sz w:val="24"/>
          <w:szCs w:val="24"/>
        </w:rPr>
      </w:pPr>
      <w:r>
        <w:rPr>
          <w:rFonts w:hint="eastAsia"/>
          <w:sz w:val="24"/>
          <w:szCs w:val="24"/>
        </w:rPr>
        <w:t>在</w:t>
      </w:r>
      <w:r>
        <w:rPr>
          <w:sz w:val="24"/>
          <w:szCs w:val="24"/>
        </w:rPr>
        <w:t>固体检测</w:t>
      </w:r>
      <w:r>
        <w:rPr>
          <w:rFonts w:hint="eastAsia"/>
          <w:sz w:val="24"/>
          <w:szCs w:val="24"/>
        </w:rPr>
        <w:t>智</w:t>
      </w:r>
      <w:r>
        <w:rPr>
          <w:sz w:val="24"/>
          <w:szCs w:val="24"/>
        </w:rPr>
        <w:t>能</w:t>
      </w:r>
      <w:r>
        <w:rPr>
          <w:rFonts w:hint="eastAsia"/>
          <w:sz w:val="24"/>
          <w:szCs w:val="24"/>
        </w:rPr>
        <w:t>化系统运行的过程中，除了前面说明的</w:t>
      </w:r>
      <w:r>
        <w:rPr>
          <w:sz w:val="24"/>
          <w:szCs w:val="24"/>
        </w:rPr>
        <w:t>单元</w:t>
      </w:r>
      <w:r>
        <w:rPr>
          <w:rFonts w:hint="eastAsia"/>
          <w:sz w:val="24"/>
          <w:szCs w:val="24"/>
        </w:rPr>
        <w:t>外，还有一</w:t>
      </w:r>
      <w:r>
        <w:rPr>
          <w:sz w:val="24"/>
          <w:szCs w:val="24"/>
        </w:rPr>
        <w:t>个单元</w:t>
      </w:r>
      <w:r>
        <w:rPr>
          <w:rFonts w:hint="eastAsia"/>
          <w:sz w:val="24"/>
          <w:szCs w:val="24"/>
        </w:rPr>
        <w:t>虽然不是必要的，但是配置以后对检测的效率、成本控制等方面可能有更好的提升，在这里也做一个说明。</w:t>
      </w:r>
    </w:p>
    <w:p w14:paraId="63373C49" w14:textId="77777777" w:rsidR="00D51D8C"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 xml:space="preserve">3.5 </w:t>
      </w:r>
      <w:r>
        <w:rPr>
          <w:rFonts w:ascii="黑体" w:eastAsia="黑体" w:hAnsi="黑体" w:cs="黑体"/>
          <w:sz w:val="24"/>
          <w:szCs w:val="24"/>
        </w:rPr>
        <w:t>固体检测</w:t>
      </w:r>
      <w:r>
        <w:rPr>
          <w:rFonts w:ascii="黑体" w:eastAsia="黑体" w:hAnsi="黑体" w:cs="黑体" w:hint="eastAsia"/>
          <w:sz w:val="24"/>
          <w:szCs w:val="24"/>
        </w:rPr>
        <w:t>智能</w:t>
      </w:r>
      <w:r>
        <w:rPr>
          <w:rFonts w:ascii="黑体" w:eastAsia="黑体" w:hAnsi="黑体" w:cs="黑体"/>
          <w:sz w:val="24"/>
          <w:szCs w:val="24"/>
        </w:rPr>
        <w:t>化</w:t>
      </w:r>
      <w:r>
        <w:rPr>
          <w:rFonts w:ascii="黑体" w:eastAsia="黑体" w:hAnsi="黑体" w:cs="黑体" w:hint="eastAsia"/>
          <w:sz w:val="24"/>
          <w:szCs w:val="24"/>
        </w:rPr>
        <w:t>系统运行维护技术要求</w:t>
      </w:r>
    </w:p>
    <w:p w14:paraId="5910A977" w14:textId="77777777" w:rsidR="00D51D8C" w:rsidRDefault="00000000">
      <w:pPr>
        <w:ind w:left="425" w:firstLineChars="200" w:firstLine="480"/>
        <w:rPr>
          <w:sz w:val="24"/>
          <w:szCs w:val="24"/>
        </w:rPr>
      </w:pPr>
      <w:r>
        <w:rPr>
          <w:rFonts w:hint="eastAsia"/>
          <w:sz w:val="24"/>
          <w:szCs w:val="24"/>
        </w:rPr>
        <w:t>这里主要说明</w:t>
      </w:r>
      <w:r>
        <w:rPr>
          <w:sz w:val="24"/>
          <w:szCs w:val="24"/>
        </w:rPr>
        <w:t>固体检测智能化</w:t>
      </w:r>
      <w:r>
        <w:rPr>
          <w:rFonts w:hint="eastAsia"/>
          <w:sz w:val="24"/>
          <w:szCs w:val="24"/>
        </w:rPr>
        <w:t>系统运行和维护方面的技术要求。</w:t>
      </w:r>
      <w:r>
        <w:rPr>
          <w:rFonts w:ascii="黑体" w:eastAsia="黑体" w:hAnsi="黑体" w:cs="黑体" w:hint="eastAsia"/>
          <w:sz w:val="24"/>
          <w:szCs w:val="24"/>
        </w:rPr>
        <w:t xml:space="preserve"> </w:t>
      </w:r>
    </w:p>
    <w:p w14:paraId="6F42181D"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bookmarkStart w:id="9" w:name="_Toc1707"/>
      <w:r>
        <w:rPr>
          <w:rFonts w:ascii="黑体" w:eastAsia="黑体" w:hAnsi="黑体" w:cs="黑体" w:hint="eastAsia"/>
          <w:sz w:val="28"/>
          <w:szCs w:val="28"/>
        </w:rPr>
        <w:t xml:space="preserve">4  </w:t>
      </w:r>
      <w:bookmarkEnd w:id="9"/>
      <w:r>
        <w:rPr>
          <w:rFonts w:ascii="黑体" w:eastAsia="黑体" w:hAnsi="黑体" w:cs="黑体" w:hint="eastAsia"/>
          <w:sz w:val="28"/>
          <w:szCs w:val="28"/>
        </w:rPr>
        <w:t>与国际国</w:t>
      </w:r>
      <w:r>
        <w:rPr>
          <w:rFonts w:ascii="黑体" w:eastAsia="黑体" w:hAnsi="黑体" w:cs="黑体"/>
          <w:sz w:val="28"/>
          <w:szCs w:val="28"/>
        </w:rPr>
        <w:t>内</w:t>
      </w:r>
      <w:r>
        <w:rPr>
          <w:rFonts w:ascii="黑体" w:eastAsia="黑体" w:hAnsi="黑体" w:cs="黑体" w:hint="eastAsia"/>
          <w:sz w:val="28"/>
          <w:szCs w:val="28"/>
        </w:rPr>
        <w:t>同类技术内容对比情况</w:t>
      </w:r>
    </w:p>
    <w:p w14:paraId="55A4013A" w14:textId="77777777" w:rsidR="00D51D8C" w:rsidRDefault="00000000">
      <w:pPr>
        <w:spacing w:line="360" w:lineRule="auto"/>
        <w:ind w:firstLineChars="200" w:firstLine="480"/>
        <w:rPr>
          <w:sz w:val="24"/>
          <w:szCs w:val="24"/>
        </w:rPr>
      </w:pPr>
      <w:r>
        <w:rPr>
          <w:rFonts w:hint="eastAsia"/>
          <w:sz w:val="24"/>
          <w:szCs w:val="24"/>
        </w:rPr>
        <w:t>《分析仪器智能化系统</w:t>
      </w:r>
      <w:r>
        <w:rPr>
          <w:rFonts w:hint="eastAsia"/>
          <w:sz w:val="24"/>
          <w:szCs w:val="24"/>
        </w:rPr>
        <w:t xml:space="preserve"> </w:t>
      </w:r>
      <w:r>
        <w:rPr>
          <w:rFonts w:hint="eastAsia"/>
          <w:sz w:val="24"/>
          <w:szCs w:val="24"/>
        </w:rPr>
        <w:t>第</w:t>
      </w:r>
      <w:r>
        <w:rPr>
          <w:sz w:val="24"/>
          <w:szCs w:val="24"/>
        </w:rPr>
        <w:t xml:space="preserve"> 4</w:t>
      </w:r>
      <w:r>
        <w:rPr>
          <w:rFonts w:hint="eastAsia"/>
          <w:sz w:val="24"/>
          <w:szCs w:val="24"/>
        </w:rPr>
        <w:t xml:space="preserve"> </w:t>
      </w:r>
      <w:r>
        <w:rPr>
          <w:rFonts w:hint="eastAsia"/>
          <w:sz w:val="24"/>
          <w:szCs w:val="24"/>
        </w:rPr>
        <w:t>部分：</w:t>
      </w:r>
      <w:r>
        <w:rPr>
          <w:sz w:val="24"/>
          <w:szCs w:val="24"/>
        </w:rPr>
        <w:t>固体检测</w:t>
      </w:r>
      <w:r>
        <w:rPr>
          <w:rFonts w:hint="eastAsia"/>
          <w:sz w:val="24"/>
          <w:szCs w:val="24"/>
        </w:rPr>
        <w:t>系统技术规范》是我国首次制定的国家级指导性技术文件，聚焦</w:t>
      </w:r>
      <w:r>
        <w:rPr>
          <w:sz w:val="24"/>
          <w:szCs w:val="24"/>
        </w:rPr>
        <w:t>固体检测</w:t>
      </w:r>
      <w:r>
        <w:rPr>
          <w:rFonts w:hint="eastAsia"/>
          <w:sz w:val="24"/>
          <w:szCs w:val="24"/>
        </w:rPr>
        <w:t>系统的智能化、自动化与数据化要求。以下从标准定位、核心技术要求、智能化能力、数据与安全、质控与</w:t>
      </w:r>
      <w:proofErr w:type="gramStart"/>
      <w:r>
        <w:rPr>
          <w:rFonts w:hint="eastAsia"/>
          <w:sz w:val="24"/>
          <w:szCs w:val="24"/>
        </w:rPr>
        <w:t>运维五大</w:t>
      </w:r>
      <w:proofErr w:type="gramEnd"/>
      <w:r>
        <w:rPr>
          <w:rFonts w:hint="eastAsia"/>
          <w:sz w:val="24"/>
          <w:szCs w:val="24"/>
        </w:rPr>
        <w:t>维度，与</w:t>
      </w:r>
      <w:r>
        <w:rPr>
          <w:rFonts w:hint="eastAsia"/>
          <w:sz w:val="24"/>
          <w:szCs w:val="24"/>
        </w:rPr>
        <w:t>ISO</w:t>
      </w:r>
      <w:r>
        <w:rPr>
          <w:rFonts w:hint="eastAsia"/>
          <w:sz w:val="24"/>
          <w:szCs w:val="24"/>
        </w:rPr>
        <w:t>、</w:t>
      </w:r>
      <w:r>
        <w:rPr>
          <w:rFonts w:hint="eastAsia"/>
          <w:sz w:val="24"/>
          <w:szCs w:val="24"/>
        </w:rPr>
        <w:t>IEC</w:t>
      </w:r>
      <w:r>
        <w:rPr>
          <w:rFonts w:hint="eastAsia"/>
          <w:sz w:val="24"/>
          <w:szCs w:val="24"/>
        </w:rPr>
        <w:t>、欧盟</w:t>
      </w:r>
      <w:r>
        <w:rPr>
          <w:rFonts w:hint="eastAsia"/>
          <w:sz w:val="24"/>
          <w:szCs w:val="24"/>
        </w:rPr>
        <w:t>EN</w:t>
      </w:r>
      <w:r>
        <w:rPr>
          <w:rFonts w:hint="eastAsia"/>
          <w:sz w:val="24"/>
          <w:szCs w:val="24"/>
        </w:rPr>
        <w:t>、美国</w:t>
      </w:r>
      <w:r>
        <w:rPr>
          <w:rFonts w:hint="eastAsia"/>
          <w:sz w:val="24"/>
          <w:szCs w:val="24"/>
        </w:rPr>
        <w:t>EPA</w:t>
      </w:r>
      <w:r>
        <w:rPr>
          <w:rFonts w:hint="eastAsia"/>
          <w:sz w:val="24"/>
          <w:szCs w:val="24"/>
        </w:rPr>
        <w:t>等国际主流标准进行系统对比。</w:t>
      </w:r>
    </w:p>
    <w:p w14:paraId="0FCFEF1B" w14:textId="77777777" w:rsidR="00D51D8C" w:rsidRDefault="00D51D8C">
      <w:pPr>
        <w:spacing w:line="360" w:lineRule="auto"/>
        <w:ind w:firstLineChars="0" w:firstLine="0"/>
        <w:rPr>
          <w:sz w:val="24"/>
          <w:szCs w:val="24"/>
        </w:rPr>
      </w:pPr>
    </w:p>
    <w:tbl>
      <w:tblPr>
        <w:tblStyle w:val="af0"/>
        <w:tblW w:w="0" w:type="auto"/>
        <w:tblLook w:val="04A0" w:firstRow="1" w:lastRow="0" w:firstColumn="1" w:lastColumn="0" w:noHBand="0" w:noVBand="1"/>
      </w:tblPr>
      <w:tblGrid>
        <w:gridCol w:w="851"/>
        <w:gridCol w:w="1371"/>
        <w:gridCol w:w="1490"/>
        <w:gridCol w:w="2437"/>
        <w:gridCol w:w="2147"/>
      </w:tblGrid>
      <w:tr w:rsidR="00D51D8C" w14:paraId="73630CF9" w14:textId="77777777">
        <w:tc>
          <w:tcPr>
            <w:tcW w:w="881" w:type="dxa"/>
            <w:vAlign w:val="center"/>
          </w:tcPr>
          <w:p w14:paraId="37149AE7" w14:textId="77777777" w:rsidR="00D51D8C" w:rsidRDefault="00000000">
            <w:pPr>
              <w:ind w:firstLineChars="0" w:firstLine="0"/>
              <w:jc w:val="center"/>
              <w:rPr>
                <w:szCs w:val="21"/>
              </w:rPr>
            </w:pPr>
            <w:r>
              <w:rPr>
                <w:rFonts w:hint="eastAsia"/>
                <w:szCs w:val="21"/>
              </w:rPr>
              <w:t>序号</w:t>
            </w:r>
          </w:p>
        </w:tc>
        <w:tc>
          <w:tcPr>
            <w:tcW w:w="1435" w:type="dxa"/>
            <w:vAlign w:val="center"/>
          </w:tcPr>
          <w:p w14:paraId="2C875D52" w14:textId="77777777" w:rsidR="00D51D8C" w:rsidRDefault="00000000">
            <w:pPr>
              <w:ind w:firstLineChars="0" w:firstLine="0"/>
              <w:jc w:val="center"/>
              <w:rPr>
                <w:szCs w:val="21"/>
              </w:rPr>
            </w:pPr>
            <w:r>
              <w:rPr>
                <w:rFonts w:hint="eastAsia"/>
                <w:szCs w:val="21"/>
              </w:rPr>
              <w:t>对比维度</w:t>
            </w:r>
          </w:p>
        </w:tc>
        <w:tc>
          <w:tcPr>
            <w:tcW w:w="1518" w:type="dxa"/>
            <w:vAlign w:val="center"/>
          </w:tcPr>
          <w:p w14:paraId="6013DE9D" w14:textId="77777777" w:rsidR="00D51D8C" w:rsidRDefault="00000000">
            <w:pPr>
              <w:ind w:firstLineChars="0" w:firstLine="0"/>
              <w:jc w:val="center"/>
              <w:rPr>
                <w:szCs w:val="21"/>
              </w:rPr>
            </w:pPr>
            <w:r>
              <w:rPr>
                <w:rFonts w:hint="eastAsia"/>
                <w:szCs w:val="21"/>
              </w:rPr>
              <w:t>关键指标</w:t>
            </w:r>
          </w:p>
        </w:tc>
        <w:tc>
          <w:tcPr>
            <w:tcW w:w="2541" w:type="dxa"/>
            <w:vAlign w:val="center"/>
          </w:tcPr>
          <w:p w14:paraId="75502657" w14:textId="77777777" w:rsidR="00D51D8C" w:rsidRDefault="00000000">
            <w:pPr>
              <w:ind w:firstLineChars="0" w:firstLine="0"/>
              <w:jc w:val="center"/>
              <w:rPr>
                <w:szCs w:val="21"/>
              </w:rPr>
            </w:pPr>
            <w:r>
              <w:rPr>
                <w:rFonts w:hint="eastAsia"/>
                <w:szCs w:val="21"/>
              </w:rPr>
              <w:t>中国国标（</w:t>
            </w:r>
            <w:r>
              <w:rPr>
                <w:rFonts w:hint="eastAsia"/>
                <w:szCs w:val="21"/>
              </w:rPr>
              <w:t>2025</w:t>
            </w:r>
            <w:r>
              <w:rPr>
                <w:rFonts w:hint="eastAsia"/>
                <w:szCs w:val="21"/>
              </w:rPr>
              <w:t>制定中，</w:t>
            </w:r>
            <w:r>
              <w:rPr>
                <w:rFonts w:hint="eastAsia"/>
                <w:szCs w:val="21"/>
              </w:rPr>
              <w:t>GB/Z</w:t>
            </w:r>
            <w:r>
              <w:rPr>
                <w:rFonts w:hint="eastAsia"/>
                <w:szCs w:val="21"/>
              </w:rPr>
              <w:t>）</w:t>
            </w:r>
          </w:p>
        </w:tc>
        <w:tc>
          <w:tcPr>
            <w:tcW w:w="2147" w:type="dxa"/>
            <w:vAlign w:val="center"/>
          </w:tcPr>
          <w:p w14:paraId="1EDBDABB" w14:textId="77777777" w:rsidR="00D51D8C" w:rsidRDefault="00000000">
            <w:pPr>
              <w:ind w:firstLineChars="0" w:firstLine="0"/>
              <w:jc w:val="center"/>
              <w:rPr>
                <w:szCs w:val="21"/>
              </w:rPr>
            </w:pPr>
            <w:r>
              <w:rPr>
                <w:rFonts w:hint="eastAsia"/>
                <w:szCs w:val="21"/>
              </w:rPr>
              <w:t>国际主流标准（</w:t>
            </w:r>
            <w:r>
              <w:rPr>
                <w:rFonts w:hint="eastAsia"/>
                <w:szCs w:val="21"/>
              </w:rPr>
              <w:t>ISO/IEC/EN/EPA</w:t>
            </w:r>
            <w:r>
              <w:rPr>
                <w:rFonts w:hint="eastAsia"/>
                <w:szCs w:val="21"/>
              </w:rPr>
              <w:t>）</w:t>
            </w:r>
          </w:p>
        </w:tc>
      </w:tr>
      <w:tr w:rsidR="00D51D8C" w14:paraId="3AE0496F" w14:textId="77777777">
        <w:tc>
          <w:tcPr>
            <w:tcW w:w="881" w:type="dxa"/>
            <w:vMerge w:val="restart"/>
            <w:vAlign w:val="center"/>
          </w:tcPr>
          <w:p w14:paraId="39F5B2E1" w14:textId="77777777" w:rsidR="00D51D8C" w:rsidRDefault="00000000">
            <w:pPr>
              <w:ind w:firstLineChars="0" w:firstLine="0"/>
              <w:jc w:val="center"/>
              <w:rPr>
                <w:szCs w:val="21"/>
              </w:rPr>
            </w:pPr>
            <w:r>
              <w:rPr>
                <w:rFonts w:hint="eastAsia"/>
                <w:szCs w:val="21"/>
              </w:rPr>
              <w:t>1</w:t>
            </w:r>
          </w:p>
        </w:tc>
        <w:tc>
          <w:tcPr>
            <w:tcW w:w="1435" w:type="dxa"/>
            <w:vMerge w:val="restart"/>
            <w:vAlign w:val="center"/>
          </w:tcPr>
          <w:p w14:paraId="21DC367C" w14:textId="77777777" w:rsidR="00D51D8C" w:rsidRDefault="00000000">
            <w:pPr>
              <w:ind w:firstLineChars="0" w:firstLine="0"/>
              <w:jc w:val="center"/>
              <w:rPr>
                <w:szCs w:val="21"/>
              </w:rPr>
            </w:pPr>
            <w:r>
              <w:rPr>
                <w:rFonts w:hint="eastAsia"/>
                <w:szCs w:val="21"/>
              </w:rPr>
              <w:t>标准定位</w:t>
            </w:r>
          </w:p>
        </w:tc>
        <w:tc>
          <w:tcPr>
            <w:tcW w:w="1518" w:type="dxa"/>
            <w:vAlign w:val="center"/>
          </w:tcPr>
          <w:p w14:paraId="1822F73C" w14:textId="77777777" w:rsidR="00D51D8C" w:rsidRDefault="00000000">
            <w:pPr>
              <w:ind w:firstLineChars="0" w:firstLine="0"/>
              <w:jc w:val="center"/>
              <w:rPr>
                <w:szCs w:val="21"/>
              </w:rPr>
            </w:pPr>
            <w:r>
              <w:rPr>
                <w:rFonts w:hint="eastAsia"/>
                <w:szCs w:val="21"/>
              </w:rPr>
              <w:t>标准核心定位</w:t>
            </w:r>
          </w:p>
        </w:tc>
        <w:tc>
          <w:tcPr>
            <w:tcW w:w="2541" w:type="dxa"/>
            <w:vAlign w:val="center"/>
          </w:tcPr>
          <w:p w14:paraId="10737784" w14:textId="77777777" w:rsidR="00D51D8C" w:rsidRDefault="00000000">
            <w:pPr>
              <w:ind w:firstLineChars="0" w:firstLine="0"/>
              <w:jc w:val="center"/>
              <w:rPr>
                <w:szCs w:val="21"/>
              </w:rPr>
            </w:pPr>
            <w:r>
              <w:rPr>
                <w:rFonts w:hint="eastAsia"/>
                <w:szCs w:val="21"/>
              </w:rPr>
              <w:t>以“系统智能化”为核心，覆盖固体样品全流程自动化检测</w:t>
            </w:r>
          </w:p>
        </w:tc>
        <w:tc>
          <w:tcPr>
            <w:tcW w:w="2147" w:type="dxa"/>
            <w:vAlign w:val="center"/>
          </w:tcPr>
          <w:p w14:paraId="38BCB7B4" w14:textId="77777777" w:rsidR="00D51D8C" w:rsidRDefault="00000000">
            <w:pPr>
              <w:ind w:firstLineChars="0" w:firstLine="0"/>
              <w:jc w:val="center"/>
              <w:rPr>
                <w:szCs w:val="21"/>
              </w:rPr>
            </w:pPr>
            <w:r>
              <w:rPr>
                <w:rFonts w:hint="eastAsia"/>
                <w:szCs w:val="21"/>
              </w:rPr>
              <w:t>侧重管理框架、仪器性能、合</w:t>
            </w:r>
            <w:proofErr w:type="gramStart"/>
            <w:r>
              <w:rPr>
                <w:rFonts w:hint="eastAsia"/>
                <w:szCs w:val="21"/>
              </w:rPr>
              <w:t>规</w:t>
            </w:r>
            <w:proofErr w:type="gramEnd"/>
            <w:r>
              <w:rPr>
                <w:rFonts w:hint="eastAsia"/>
                <w:szCs w:val="21"/>
              </w:rPr>
              <w:t>要求，智能化多为附加能力</w:t>
            </w:r>
          </w:p>
        </w:tc>
      </w:tr>
      <w:tr w:rsidR="00D51D8C" w14:paraId="0EC19220" w14:textId="77777777">
        <w:tc>
          <w:tcPr>
            <w:tcW w:w="881" w:type="dxa"/>
            <w:vMerge/>
            <w:vAlign w:val="center"/>
          </w:tcPr>
          <w:p w14:paraId="496E0762" w14:textId="77777777" w:rsidR="00D51D8C" w:rsidRDefault="00D51D8C">
            <w:pPr>
              <w:ind w:firstLineChars="0" w:firstLine="0"/>
              <w:jc w:val="center"/>
              <w:rPr>
                <w:szCs w:val="21"/>
              </w:rPr>
            </w:pPr>
          </w:p>
        </w:tc>
        <w:tc>
          <w:tcPr>
            <w:tcW w:w="1435" w:type="dxa"/>
            <w:vMerge/>
            <w:vAlign w:val="center"/>
          </w:tcPr>
          <w:p w14:paraId="1D1E0F33" w14:textId="77777777" w:rsidR="00D51D8C" w:rsidRDefault="00D51D8C">
            <w:pPr>
              <w:ind w:firstLineChars="0" w:firstLine="0"/>
              <w:jc w:val="center"/>
              <w:rPr>
                <w:szCs w:val="21"/>
              </w:rPr>
            </w:pPr>
          </w:p>
        </w:tc>
        <w:tc>
          <w:tcPr>
            <w:tcW w:w="1518" w:type="dxa"/>
            <w:vAlign w:val="center"/>
          </w:tcPr>
          <w:p w14:paraId="2539CDC7" w14:textId="77777777" w:rsidR="00D51D8C" w:rsidRDefault="00000000">
            <w:pPr>
              <w:ind w:firstLineChars="0" w:firstLine="0"/>
              <w:jc w:val="center"/>
              <w:rPr>
                <w:szCs w:val="21"/>
              </w:rPr>
            </w:pPr>
            <w:r>
              <w:rPr>
                <w:rFonts w:hint="eastAsia"/>
                <w:szCs w:val="21"/>
              </w:rPr>
              <w:t>适用对象范围</w:t>
            </w:r>
          </w:p>
        </w:tc>
        <w:tc>
          <w:tcPr>
            <w:tcW w:w="2541" w:type="dxa"/>
            <w:vAlign w:val="center"/>
          </w:tcPr>
          <w:p w14:paraId="35981240" w14:textId="77777777" w:rsidR="00D51D8C" w:rsidRDefault="00000000">
            <w:pPr>
              <w:ind w:firstLineChars="0" w:firstLine="0"/>
              <w:jc w:val="center"/>
              <w:rPr>
                <w:szCs w:val="21"/>
              </w:rPr>
            </w:pPr>
            <w:r>
              <w:rPr>
                <w:szCs w:val="21"/>
              </w:rPr>
              <w:t>固体检测</w:t>
            </w:r>
            <w:r>
              <w:rPr>
                <w:rFonts w:hint="eastAsia"/>
                <w:szCs w:val="21"/>
              </w:rPr>
              <w:t>智能化系统，含</w:t>
            </w:r>
            <w:r>
              <w:rPr>
                <w:szCs w:val="21"/>
              </w:rPr>
              <w:t>土壤、沉积物、固废、矿砂、岩芯、层</w:t>
            </w:r>
            <w:r>
              <w:rPr>
                <w:szCs w:val="21"/>
              </w:rPr>
              <w:lastRenderedPageBreak/>
              <w:t>岩、精矿粉、煤样、原糖等样品</w:t>
            </w:r>
          </w:p>
        </w:tc>
        <w:tc>
          <w:tcPr>
            <w:tcW w:w="2147" w:type="dxa"/>
            <w:vAlign w:val="center"/>
          </w:tcPr>
          <w:p w14:paraId="2600FB9E" w14:textId="77777777" w:rsidR="00D51D8C" w:rsidRDefault="00000000">
            <w:pPr>
              <w:ind w:firstLineChars="0" w:firstLine="0"/>
              <w:jc w:val="center"/>
              <w:rPr>
                <w:szCs w:val="21"/>
              </w:rPr>
            </w:pPr>
            <w:r>
              <w:rPr>
                <w:rFonts w:hint="eastAsia"/>
                <w:szCs w:val="21"/>
              </w:rPr>
              <w:lastRenderedPageBreak/>
              <w:t xml:space="preserve">ISO </w:t>
            </w:r>
            <w:r>
              <w:rPr>
                <w:szCs w:val="21"/>
              </w:rPr>
              <w:t>11464</w:t>
            </w:r>
            <w:r>
              <w:rPr>
                <w:szCs w:val="21"/>
              </w:rPr>
              <w:t>只覆盖样品预处理，不涉及自动化系统</w:t>
            </w:r>
            <w:r>
              <w:rPr>
                <w:rFonts w:hint="eastAsia"/>
                <w:szCs w:val="21"/>
              </w:rPr>
              <w:t>；</w:t>
            </w:r>
            <w:r>
              <w:rPr>
                <w:szCs w:val="21"/>
              </w:rPr>
              <w:t>ISO3082</w:t>
            </w:r>
            <w:r>
              <w:rPr>
                <w:szCs w:val="21"/>
              </w:rPr>
              <w:lastRenderedPageBreak/>
              <w:t>仅涉及铁矿石取样和制备</w:t>
            </w:r>
          </w:p>
        </w:tc>
      </w:tr>
      <w:tr w:rsidR="00D51D8C" w14:paraId="69FB6D89" w14:textId="77777777">
        <w:tc>
          <w:tcPr>
            <w:tcW w:w="881" w:type="dxa"/>
            <w:vAlign w:val="center"/>
          </w:tcPr>
          <w:p w14:paraId="330F922B" w14:textId="77777777" w:rsidR="00D51D8C" w:rsidRDefault="00000000">
            <w:pPr>
              <w:ind w:firstLineChars="0" w:firstLine="0"/>
              <w:jc w:val="center"/>
              <w:rPr>
                <w:szCs w:val="21"/>
              </w:rPr>
            </w:pPr>
            <w:r>
              <w:rPr>
                <w:rFonts w:hint="eastAsia"/>
                <w:szCs w:val="21"/>
              </w:rPr>
              <w:lastRenderedPageBreak/>
              <w:t>2</w:t>
            </w:r>
          </w:p>
        </w:tc>
        <w:tc>
          <w:tcPr>
            <w:tcW w:w="1435" w:type="dxa"/>
            <w:vAlign w:val="center"/>
          </w:tcPr>
          <w:p w14:paraId="77674C77" w14:textId="77777777" w:rsidR="00D51D8C" w:rsidRDefault="00000000">
            <w:pPr>
              <w:ind w:firstLineChars="0" w:firstLine="0"/>
              <w:jc w:val="center"/>
              <w:rPr>
                <w:szCs w:val="21"/>
              </w:rPr>
            </w:pPr>
            <w:r>
              <w:rPr>
                <w:rFonts w:hint="eastAsia"/>
                <w:szCs w:val="21"/>
              </w:rPr>
              <w:t>核心技术要求</w:t>
            </w:r>
          </w:p>
        </w:tc>
        <w:tc>
          <w:tcPr>
            <w:tcW w:w="1518" w:type="dxa"/>
            <w:vAlign w:val="center"/>
          </w:tcPr>
          <w:p w14:paraId="50ED710F" w14:textId="77777777" w:rsidR="00D51D8C" w:rsidRDefault="00000000">
            <w:pPr>
              <w:ind w:firstLineChars="0" w:firstLine="0"/>
              <w:jc w:val="center"/>
              <w:rPr>
                <w:szCs w:val="21"/>
              </w:rPr>
            </w:pPr>
            <w:r>
              <w:rPr>
                <w:rFonts w:hint="eastAsia"/>
                <w:szCs w:val="21"/>
              </w:rPr>
              <w:t>系统架构</w:t>
            </w:r>
          </w:p>
        </w:tc>
        <w:tc>
          <w:tcPr>
            <w:tcW w:w="2541" w:type="dxa"/>
            <w:vAlign w:val="center"/>
          </w:tcPr>
          <w:p w14:paraId="401721CB" w14:textId="77777777" w:rsidR="00D51D8C" w:rsidRDefault="00000000">
            <w:pPr>
              <w:ind w:firstLineChars="0" w:firstLine="0"/>
              <w:jc w:val="center"/>
              <w:rPr>
                <w:szCs w:val="21"/>
              </w:rPr>
            </w:pPr>
            <w:r>
              <w:rPr>
                <w:rFonts w:hint="eastAsia"/>
                <w:szCs w:val="21"/>
              </w:rPr>
              <w:t>采用模块化、开放式架构，强调主控系统统一调度与数据互联</w:t>
            </w:r>
          </w:p>
        </w:tc>
        <w:tc>
          <w:tcPr>
            <w:tcW w:w="2147" w:type="dxa"/>
            <w:vAlign w:val="center"/>
          </w:tcPr>
          <w:p w14:paraId="52783E50" w14:textId="77777777" w:rsidR="00D51D8C" w:rsidRDefault="00000000">
            <w:pPr>
              <w:ind w:firstLineChars="0" w:firstLine="0"/>
              <w:jc w:val="center"/>
              <w:rPr>
                <w:szCs w:val="21"/>
              </w:rPr>
            </w:pPr>
            <w:r>
              <w:rPr>
                <w:rFonts w:hint="eastAsia"/>
                <w:szCs w:val="21"/>
              </w:rPr>
              <w:t>ISO 17025</w:t>
            </w:r>
            <w:r>
              <w:rPr>
                <w:rFonts w:hint="eastAsia"/>
                <w:szCs w:val="21"/>
              </w:rPr>
              <w:t>等关注实验室能力，不涉及系统集成</w:t>
            </w:r>
          </w:p>
        </w:tc>
      </w:tr>
      <w:tr w:rsidR="00D51D8C" w14:paraId="5828BD4C" w14:textId="77777777">
        <w:tc>
          <w:tcPr>
            <w:tcW w:w="881" w:type="dxa"/>
            <w:vMerge w:val="restart"/>
            <w:vAlign w:val="center"/>
          </w:tcPr>
          <w:p w14:paraId="6DA5FEE1" w14:textId="77777777" w:rsidR="00D51D8C" w:rsidRDefault="00000000">
            <w:pPr>
              <w:ind w:firstLineChars="0" w:firstLine="0"/>
              <w:jc w:val="center"/>
              <w:rPr>
                <w:szCs w:val="21"/>
              </w:rPr>
            </w:pPr>
            <w:r>
              <w:rPr>
                <w:rFonts w:hint="eastAsia"/>
                <w:szCs w:val="21"/>
              </w:rPr>
              <w:t>3</w:t>
            </w:r>
          </w:p>
        </w:tc>
        <w:tc>
          <w:tcPr>
            <w:tcW w:w="1435" w:type="dxa"/>
            <w:vMerge w:val="restart"/>
            <w:vAlign w:val="center"/>
          </w:tcPr>
          <w:p w14:paraId="142FDCFA" w14:textId="77777777" w:rsidR="00D51D8C" w:rsidRDefault="00000000">
            <w:pPr>
              <w:ind w:firstLineChars="0" w:firstLine="0"/>
              <w:jc w:val="center"/>
              <w:rPr>
                <w:szCs w:val="21"/>
              </w:rPr>
            </w:pPr>
            <w:r>
              <w:rPr>
                <w:rFonts w:hint="eastAsia"/>
                <w:szCs w:val="21"/>
              </w:rPr>
              <w:t>智能化能力</w:t>
            </w:r>
          </w:p>
        </w:tc>
        <w:tc>
          <w:tcPr>
            <w:tcW w:w="1518" w:type="dxa"/>
            <w:vAlign w:val="center"/>
          </w:tcPr>
          <w:p w14:paraId="0B3D1134" w14:textId="77777777" w:rsidR="00D51D8C" w:rsidRDefault="00000000">
            <w:pPr>
              <w:ind w:firstLineChars="0" w:firstLine="0"/>
              <w:jc w:val="center"/>
              <w:rPr>
                <w:szCs w:val="21"/>
              </w:rPr>
            </w:pPr>
            <w:r>
              <w:rPr>
                <w:rFonts w:hint="eastAsia"/>
                <w:szCs w:val="21"/>
              </w:rPr>
              <w:t>自动化流程</w:t>
            </w:r>
          </w:p>
        </w:tc>
        <w:tc>
          <w:tcPr>
            <w:tcW w:w="2541" w:type="dxa"/>
            <w:vAlign w:val="center"/>
          </w:tcPr>
          <w:p w14:paraId="40C9BC13" w14:textId="77777777" w:rsidR="00D51D8C" w:rsidRDefault="00000000">
            <w:pPr>
              <w:ind w:firstLineChars="0" w:firstLine="0"/>
              <w:jc w:val="center"/>
              <w:rPr>
                <w:szCs w:val="21"/>
              </w:rPr>
            </w:pPr>
            <w:r>
              <w:rPr>
                <w:rFonts w:hint="eastAsia"/>
                <w:szCs w:val="21"/>
              </w:rPr>
              <w:t>强制全自动全流程（样品制备、流转、分析、质控等），支持远程反控、故障自诊断</w:t>
            </w:r>
          </w:p>
        </w:tc>
        <w:tc>
          <w:tcPr>
            <w:tcW w:w="2147" w:type="dxa"/>
            <w:vAlign w:val="center"/>
          </w:tcPr>
          <w:p w14:paraId="164109FC" w14:textId="77777777" w:rsidR="00D51D8C" w:rsidRDefault="00000000">
            <w:pPr>
              <w:ind w:firstLineChars="0" w:firstLine="0"/>
              <w:jc w:val="center"/>
              <w:rPr>
                <w:szCs w:val="21"/>
              </w:rPr>
            </w:pPr>
            <w:r>
              <w:rPr>
                <w:rFonts w:hint="eastAsia"/>
                <w:szCs w:val="21"/>
              </w:rPr>
              <w:t>自动化为可选，无强制要求；</w:t>
            </w:r>
            <w:r>
              <w:rPr>
                <w:rFonts w:hint="eastAsia"/>
                <w:szCs w:val="21"/>
              </w:rPr>
              <w:t>EPA</w:t>
            </w:r>
            <w:r>
              <w:rPr>
                <w:rFonts w:hint="eastAsia"/>
                <w:szCs w:val="21"/>
              </w:rPr>
              <w:t>土壤方法以手工为主</w:t>
            </w:r>
          </w:p>
        </w:tc>
      </w:tr>
      <w:tr w:rsidR="00D51D8C" w14:paraId="04110777" w14:textId="77777777">
        <w:tc>
          <w:tcPr>
            <w:tcW w:w="881" w:type="dxa"/>
            <w:vMerge/>
            <w:vAlign w:val="center"/>
          </w:tcPr>
          <w:p w14:paraId="2DF2E1A8" w14:textId="77777777" w:rsidR="00D51D8C" w:rsidRDefault="00D51D8C">
            <w:pPr>
              <w:ind w:firstLineChars="0" w:firstLine="0"/>
              <w:jc w:val="center"/>
              <w:rPr>
                <w:szCs w:val="21"/>
              </w:rPr>
            </w:pPr>
          </w:p>
        </w:tc>
        <w:tc>
          <w:tcPr>
            <w:tcW w:w="1435" w:type="dxa"/>
            <w:vMerge/>
            <w:vAlign w:val="center"/>
          </w:tcPr>
          <w:p w14:paraId="59C7A3BA" w14:textId="77777777" w:rsidR="00D51D8C" w:rsidRDefault="00D51D8C">
            <w:pPr>
              <w:ind w:firstLineChars="0" w:firstLine="0"/>
              <w:jc w:val="center"/>
              <w:rPr>
                <w:szCs w:val="21"/>
              </w:rPr>
            </w:pPr>
          </w:p>
        </w:tc>
        <w:tc>
          <w:tcPr>
            <w:tcW w:w="1518" w:type="dxa"/>
            <w:vAlign w:val="center"/>
          </w:tcPr>
          <w:p w14:paraId="5AE0EB2A" w14:textId="77777777" w:rsidR="00D51D8C" w:rsidRDefault="00000000">
            <w:pPr>
              <w:ind w:firstLineChars="0" w:firstLine="0"/>
              <w:jc w:val="center"/>
              <w:rPr>
                <w:szCs w:val="21"/>
              </w:rPr>
            </w:pPr>
            <w:r>
              <w:rPr>
                <w:rFonts w:hint="eastAsia"/>
                <w:szCs w:val="21"/>
              </w:rPr>
              <w:t>AI</w:t>
            </w:r>
            <w:r>
              <w:rPr>
                <w:rFonts w:hint="eastAsia"/>
                <w:szCs w:val="21"/>
              </w:rPr>
              <w:t>与数据智能</w:t>
            </w:r>
          </w:p>
        </w:tc>
        <w:tc>
          <w:tcPr>
            <w:tcW w:w="2541" w:type="dxa"/>
            <w:vAlign w:val="center"/>
          </w:tcPr>
          <w:p w14:paraId="01AA86E0" w14:textId="77777777" w:rsidR="00D51D8C" w:rsidRDefault="00000000">
            <w:pPr>
              <w:ind w:firstLineChars="0" w:firstLine="0"/>
              <w:jc w:val="center"/>
              <w:rPr>
                <w:szCs w:val="21"/>
              </w:rPr>
            </w:pPr>
            <w:r>
              <w:rPr>
                <w:rFonts w:hint="eastAsia"/>
                <w:szCs w:val="21"/>
              </w:rPr>
              <w:t>明确</w:t>
            </w:r>
            <w:r>
              <w:rPr>
                <w:rFonts w:hint="eastAsia"/>
                <w:szCs w:val="21"/>
              </w:rPr>
              <w:t>AI</w:t>
            </w:r>
            <w:r>
              <w:rPr>
                <w:rFonts w:hint="eastAsia"/>
                <w:szCs w:val="21"/>
              </w:rPr>
              <w:t>应用要求（趋势预测、污染溯源、异常识别），支持多</w:t>
            </w:r>
            <w:proofErr w:type="gramStart"/>
            <w:r>
              <w:rPr>
                <w:rFonts w:hint="eastAsia"/>
                <w:szCs w:val="21"/>
              </w:rPr>
              <w:t>源数据</w:t>
            </w:r>
            <w:proofErr w:type="gramEnd"/>
            <w:r>
              <w:rPr>
                <w:rFonts w:hint="eastAsia"/>
                <w:szCs w:val="21"/>
              </w:rPr>
              <w:t>融合</w:t>
            </w:r>
          </w:p>
        </w:tc>
        <w:tc>
          <w:tcPr>
            <w:tcW w:w="2147" w:type="dxa"/>
            <w:vAlign w:val="center"/>
          </w:tcPr>
          <w:p w14:paraId="0604DFF9" w14:textId="77777777" w:rsidR="00D51D8C" w:rsidRDefault="00000000">
            <w:pPr>
              <w:ind w:firstLineChars="0" w:firstLine="0"/>
              <w:jc w:val="center"/>
              <w:rPr>
                <w:szCs w:val="21"/>
              </w:rPr>
            </w:pPr>
            <w:r>
              <w:rPr>
                <w:rFonts w:hint="eastAsia"/>
                <w:szCs w:val="21"/>
              </w:rPr>
              <w:t>ISO/CD 25288</w:t>
            </w:r>
            <w:r>
              <w:rPr>
                <w:rFonts w:hint="eastAsia"/>
                <w:szCs w:val="21"/>
              </w:rPr>
              <w:t>（草案）提及</w:t>
            </w:r>
            <w:r>
              <w:rPr>
                <w:rFonts w:hint="eastAsia"/>
                <w:szCs w:val="21"/>
              </w:rPr>
              <w:t xml:space="preserve"> AI </w:t>
            </w:r>
            <w:r>
              <w:rPr>
                <w:rFonts w:hint="eastAsia"/>
                <w:szCs w:val="21"/>
              </w:rPr>
              <w:t>应用，无强制；</w:t>
            </w:r>
            <w:r>
              <w:rPr>
                <w:rFonts w:hint="eastAsia"/>
                <w:szCs w:val="21"/>
              </w:rPr>
              <w:t xml:space="preserve">IEC/EPA </w:t>
            </w:r>
            <w:r>
              <w:rPr>
                <w:rFonts w:hint="eastAsia"/>
                <w:szCs w:val="21"/>
              </w:rPr>
              <w:t>无专门条款</w:t>
            </w:r>
          </w:p>
        </w:tc>
      </w:tr>
      <w:tr w:rsidR="00D51D8C" w14:paraId="3B208E7F" w14:textId="77777777">
        <w:tc>
          <w:tcPr>
            <w:tcW w:w="881" w:type="dxa"/>
            <w:vMerge/>
            <w:vAlign w:val="center"/>
          </w:tcPr>
          <w:p w14:paraId="1C580696" w14:textId="77777777" w:rsidR="00D51D8C" w:rsidRDefault="00D51D8C">
            <w:pPr>
              <w:ind w:firstLineChars="0" w:firstLine="0"/>
              <w:jc w:val="center"/>
              <w:rPr>
                <w:szCs w:val="21"/>
              </w:rPr>
            </w:pPr>
          </w:p>
        </w:tc>
        <w:tc>
          <w:tcPr>
            <w:tcW w:w="1435" w:type="dxa"/>
            <w:vMerge/>
            <w:vAlign w:val="center"/>
          </w:tcPr>
          <w:p w14:paraId="78017312" w14:textId="77777777" w:rsidR="00D51D8C" w:rsidRDefault="00D51D8C">
            <w:pPr>
              <w:ind w:firstLineChars="0" w:firstLine="0"/>
              <w:jc w:val="center"/>
              <w:rPr>
                <w:szCs w:val="21"/>
              </w:rPr>
            </w:pPr>
          </w:p>
        </w:tc>
        <w:tc>
          <w:tcPr>
            <w:tcW w:w="1518" w:type="dxa"/>
            <w:vAlign w:val="center"/>
          </w:tcPr>
          <w:p w14:paraId="6AA876E4" w14:textId="77777777" w:rsidR="00D51D8C" w:rsidRDefault="00000000">
            <w:pPr>
              <w:ind w:firstLineChars="0" w:firstLine="0"/>
              <w:jc w:val="center"/>
              <w:rPr>
                <w:szCs w:val="21"/>
              </w:rPr>
            </w:pPr>
            <w:r>
              <w:rPr>
                <w:rFonts w:hint="eastAsia"/>
                <w:szCs w:val="21"/>
              </w:rPr>
              <w:t>互联互通</w:t>
            </w:r>
          </w:p>
        </w:tc>
        <w:tc>
          <w:tcPr>
            <w:tcW w:w="2541" w:type="dxa"/>
            <w:vAlign w:val="center"/>
          </w:tcPr>
          <w:p w14:paraId="5BE604AF" w14:textId="77777777" w:rsidR="00D51D8C" w:rsidRDefault="00000000">
            <w:pPr>
              <w:ind w:firstLineChars="0" w:firstLine="0"/>
              <w:jc w:val="center"/>
              <w:rPr>
                <w:szCs w:val="21"/>
              </w:rPr>
            </w:pPr>
            <w:r>
              <w:rPr>
                <w:rFonts w:hint="eastAsia"/>
                <w:szCs w:val="21"/>
              </w:rPr>
              <w:t>统一通信协议（</w:t>
            </w:r>
            <w:r>
              <w:rPr>
                <w:rFonts w:hint="eastAsia"/>
                <w:szCs w:val="21"/>
              </w:rPr>
              <w:t>HJ 212</w:t>
            </w:r>
            <w:r>
              <w:rPr>
                <w:rFonts w:hint="eastAsia"/>
                <w:szCs w:val="21"/>
              </w:rPr>
              <w:t>、</w:t>
            </w:r>
            <w:r>
              <w:rPr>
                <w:rFonts w:hint="eastAsia"/>
                <w:szCs w:val="21"/>
              </w:rPr>
              <w:t xml:space="preserve">MQTT </w:t>
            </w:r>
            <w:r>
              <w:rPr>
                <w:rFonts w:hint="eastAsia"/>
                <w:szCs w:val="21"/>
              </w:rPr>
              <w:t>等），强制</w:t>
            </w:r>
            <w:proofErr w:type="gramStart"/>
            <w:r>
              <w:rPr>
                <w:rFonts w:hint="eastAsia"/>
                <w:szCs w:val="21"/>
              </w:rPr>
              <w:t>跨品牌</w:t>
            </w:r>
            <w:proofErr w:type="gramEnd"/>
            <w:r>
              <w:rPr>
                <w:rFonts w:hint="eastAsia"/>
                <w:szCs w:val="21"/>
              </w:rPr>
              <w:t>兼容、</w:t>
            </w:r>
            <w:proofErr w:type="gramStart"/>
            <w:r>
              <w:rPr>
                <w:rFonts w:hint="eastAsia"/>
                <w:szCs w:val="21"/>
              </w:rPr>
              <w:t>一点多传</w:t>
            </w:r>
            <w:proofErr w:type="gramEnd"/>
          </w:p>
        </w:tc>
        <w:tc>
          <w:tcPr>
            <w:tcW w:w="2147" w:type="dxa"/>
            <w:vAlign w:val="center"/>
          </w:tcPr>
          <w:p w14:paraId="224E9115" w14:textId="77777777" w:rsidR="00D51D8C" w:rsidRDefault="00000000">
            <w:pPr>
              <w:ind w:firstLineChars="0" w:firstLine="0"/>
              <w:jc w:val="center"/>
              <w:rPr>
                <w:szCs w:val="21"/>
              </w:rPr>
            </w:pPr>
            <w:r>
              <w:rPr>
                <w:rFonts w:hint="eastAsia"/>
                <w:szCs w:val="21"/>
              </w:rPr>
              <w:t>通用协议推荐，无强制统一；</w:t>
            </w:r>
            <w:r>
              <w:rPr>
                <w:rFonts w:hint="eastAsia"/>
                <w:szCs w:val="21"/>
              </w:rPr>
              <w:t xml:space="preserve">EPA </w:t>
            </w:r>
            <w:r>
              <w:rPr>
                <w:rFonts w:hint="eastAsia"/>
                <w:szCs w:val="21"/>
              </w:rPr>
              <w:t>仅规定数据上报格式，兼容性无要求</w:t>
            </w:r>
          </w:p>
        </w:tc>
      </w:tr>
      <w:tr w:rsidR="00D51D8C" w14:paraId="6B5D7262" w14:textId="77777777">
        <w:tc>
          <w:tcPr>
            <w:tcW w:w="881" w:type="dxa"/>
            <w:vAlign w:val="center"/>
          </w:tcPr>
          <w:p w14:paraId="6B077CFE" w14:textId="77777777" w:rsidR="00D51D8C" w:rsidRDefault="00000000">
            <w:pPr>
              <w:ind w:firstLineChars="0" w:firstLine="0"/>
              <w:jc w:val="center"/>
              <w:rPr>
                <w:szCs w:val="21"/>
              </w:rPr>
            </w:pPr>
            <w:r>
              <w:rPr>
                <w:rFonts w:hint="eastAsia"/>
                <w:szCs w:val="21"/>
              </w:rPr>
              <w:t>4</w:t>
            </w:r>
          </w:p>
        </w:tc>
        <w:tc>
          <w:tcPr>
            <w:tcW w:w="1435" w:type="dxa"/>
            <w:vAlign w:val="center"/>
          </w:tcPr>
          <w:p w14:paraId="19531AD4" w14:textId="77777777" w:rsidR="00D51D8C" w:rsidRDefault="00000000">
            <w:pPr>
              <w:ind w:firstLineChars="0" w:firstLine="0"/>
              <w:jc w:val="center"/>
              <w:rPr>
                <w:szCs w:val="21"/>
              </w:rPr>
            </w:pPr>
            <w:r>
              <w:rPr>
                <w:rFonts w:hint="eastAsia"/>
                <w:szCs w:val="21"/>
              </w:rPr>
              <w:t>数据与安全</w:t>
            </w:r>
          </w:p>
        </w:tc>
        <w:tc>
          <w:tcPr>
            <w:tcW w:w="1518" w:type="dxa"/>
            <w:vAlign w:val="center"/>
          </w:tcPr>
          <w:p w14:paraId="243908EA" w14:textId="77777777" w:rsidR="00D51D8C" w:rsidRDefault="00000000">
            <w:pPr>
              <w:ind w:firstLineChars="0" w:firstLine="0"/>
              <w:jc w:val="center"/>
              <w:rPr>
                <w:szCs w:val="21"/>
              </w:rPr>
            </w:pPr>
            <w:r>
              <w:rPr>
                <w:rFonts w:hint="eastAsia"/>
                <w:szCs w:val="21"/>
              </w:rPr>
              <w:t>数据溯源</w:t>
            </w:r>
          </w:p>
        </w:tc>
        <w:tc>
          <w:tcPr>
            <w:tcW w:w="2541" w:type="dxa"/>
            <w:vAlign w:val="center"/>
          </w:tcPr>
          <w:p w14:paraId="3B17C0F1" w14:textId="77777777" w:rsidR="00D51D8C" w:rsidRDefault="00000000">
            <w:pPr>
              <w:ind w:firstLineChars="0" w:firstLine="0"/>
              <w:jc w:val="center"/>
              <w:rPr>
                <w:szCs w:val="21"/>
              </w:rPr>
            </w:pPr>
            <w:r>
              <w:rPr>
                <w:rFonts w:hint="eastAsia"/>
                <w:szCs w:val="21"/>
              </w:rPr>
              <w:t>全流程可追溯、不可篡改，明确数据有效性判定规则</w:t>
            </w:r>
          </w:p>
        </w:tc>
        <w:tc>
          <w:tcPr>
            <w:tcW w:w="2147" w:type="dxa"/>
            <w:vAlign w:val="center"/>
          </w:tcPr>
          <w:p w14:paraId="19519F6A" w14:textId="77777777" w:rsidR="00D51D8C" w:rsidRDefault="00000000">
            <w:pPr>
              <w:ind w:firstLineChars="0" w:firstLine="0"/>
              <w:jc w:val="center"/>
              <w:rPr>
                <w:szCs w:val="21"/>
              </w:rPr>
            </w:pPr>
            <w:r>
              <w:rPr>
                <w:rFonts w:hint="eastAsia"/>
                <w:szCs w:val="21"/>
              </w:rPr>
              <w:t>ISO/IEC 27001</w:t>
            </w:r>
            <w:r>
              <w:rPr>
                <w:rFonts w:hint="eastAsia"/>
                <w:szCs w:val="21"/>
              </w:rPr>
              <w:t>关注信息安全，但无具体检测数据溯源要求；</w:t>
            </w:r>
            <w:r>
              <w:rPr>
                <w:rFonts w:hint="eastAsia"/>
                <w:szCs w:val="21"/>
              </w:rPr>
              <w:t xml:space="preserve">EPA/EN </w:t>
            </w:r>
            <w:r>
              <w:rPr>
                <w:rFonts w:hint="eastAsia"/>
                <w:szCs w:val="21"/>
              </w:rPr>
              <w:t>溯源要求较宽松</w:t>
            </w:r>
          </w:p>
        </w:tc>
      </w:tr>
      <w:tr w:rsidR="00D51D8C" w14:paraId="119114CA" w14:textId="77777777">
        <w:tc>
          <w:tcPr>
            <w:tcW w:w="881" w:type="dxa"/>
            <w:vMerge w:val="restart"/>
            <w:vAlign w:val="center"/>
          </w:tcPr>
          <w:p w14:paraId="7AFA0160" w14:textId="77777777" w:rsidR="00D51D8C" w:rsidRDefault="00000000">
            <w:pPr>
              <w:ind w:firstLineChars="0" w:firstLine="0"/>
              <w:jc w:val="center"/>
              <w:rPr>
                <w:szCs w:val="21"/>
              </w:rPr>
            </w:pPr>
            <w:r>
              <w:rPr>
                <w:rFonts w:hint="eastAsia"/>
                <w:szCs w:val="21"/>
              </w:rPr>
              <w:t>5</w:t>
            </w:r>
          </w:p>
        </w:tc>
        <w:tc>
          <w:tcPr>
            <w:tcW w:w="1435" w:type="dxa"/>
            <w:vMerge w:val="restart"/>
            <w:vAlign w:val="center"/>
          </w:tcPr>
          <w:p w14:paraId="6413AFBE" w14:textId="77777777" w:rsidR="00D51D8C" w:rsidRDefault="00000000">
            <w:pPr>
              <w:ind w:firstLineChars="0" w:firstLine="0"/>
              <w:jc w:val="center"/>
              <w:rPr>
                <w:szCs w:val="21"/>
              </w:rPr>
            </w:pPr>
            <w:r>
              <w:rPr>
                <w:rFonts w:hint="eastAsia"/>
                <w:szCs w:val="21"/>
              </w:rPr>
              <w:t>质控与运维</w:t>
            </w:r>
          </w:p>
        </w:tc>
        <w:tc>
          <w:tcPr>
            <w:tcW w:w="1518" w:type="dxa"/>
            <w:vAlign w:val="center"/>
          </w:tcPr>
          <w:p w14:paraId="6249ED34" w14:textId="77777777" w:rsidR="00D51D8C" w:rsidRDefault="00000000">
            <w:pPr>
              <w:ind w:firstLineChars="0" w:firstLine="0"/>
              <w:jc w:val="center"/>
              <w:rPr>
                <w:szCs w:val="21"/>
              </w:rPr>
            </w:pPr>
            <w:r>
              <w:rPr>
                <w:rFonts w:hint="eastAsia"/>
                <w:szCs w:val="21"/>
              </w:rPr>
              <w:t>自动质控（</w:t>
            </w:r>
            <w:r>
              <w:rPr>
                <w:rFonts w:hint="eastAsia"/>
                <w:szCs w:val="21"/>
              </w:rPr>
              <w:t>AQC</w:t>
            </w:r>
            <w:r>
              <w:rPr>
                <w:rFonts w:hint="eastAsia"/>
                <w:szCs w:val="21"/>
              </w:rPr>
              <w:t>）</w:t>
            </w:r>
          </w:p>
        </w:tc>
        <w:tc>
          <w:tcPr>
            <w:tcW w:w="2541" w:type="dxa"/>
            <w:vAlign w:val="center"/>
          </w:tcPr>
          <w:p w14:paraId="491DD448" w14:textId="77777777" w:rsidR="00D51D8C" w:rsidRDefault="00000000">
            <w:pPr>
              <w:ind w:firstLineChars="0" w:firstLine="0"/>
              <w:jc w:val="center"/>
              <w:rPr>
                <w:szCs w:val="21"/>
              </w:rPr>
            </w:pPr>
            <w:r>
              <w:rPr>
                <w:rFonts w:hint="eastAsia"/>
                <w:szCs w:val="21"/>
              </w:rPr>
              <w:t>强制自动执行空白、平行样、质控样，智能判定与报警</w:t>
            </w:r>
          </w:p>
        </w:tc>
        <w:tc>
          <w:tcPr>
            <w:tcW w:w="2147" w:type="dxa"/>
            <w:vAlign w:val="center"/>
          </w:tcPr>
          <w:p w14:paraId="1865B9AE" w14:textId="77777777" w:rsidR="00D51D8C" w:rsidRDefault="00000000">
            <w:pPr>
              <w:ind w:firstLineChars="0" w:firstLine="0"/>
              <w:jc w:val="center"/>
              <w:rPr>
                <w:szCs w:val="21"/>
              </w:rPr>
            </w:pPr>
            <w:r>
              <w:rPr>
                <w:rFonts w:hint="eastAsia"/>
                <w:szCs w:val="21"/>
              </w:rPr>
              <w:t xml:space="preserve">ISO </w:t>
            </w:r>
            <w:r>
              <w:rPr>
                <w:rFonts w:hint="eastAsia"/>
                <w:szCs w:val="21"/>
              </w:rPr>
              <w:t>无强制自动质控；</w:t>
            </w:r>
            <w:r>
              <w:rPr>
                <w:rFonts w:hint="eastAsia"/>
                <w:szCs w:val="21"/>
              </w:rPr>
              <w:t xml:space="preserve">IEC </w:t>
            </w:r>
            <w:r>
              <w:rPr>
                <w:rFonts w:hint="eastAsia"/>
                <w:szCs w:val="21"/>
              </w:rPr>
              <w:t>周期</w:t>
            </w:r>
            <w:r>
              <w:rPr>
                <w:rFonts w:hint="eastAsia"/>
                <w:szCs w:val="21"/>
              </w:rPr>
              <w:t xml:space="preserve"> / </w:t>
            </w:r>
            <w:r>
              <w:rPr>
                <w:rFonts w:hint="eastAsia"/>
                <w:szCs w:val="21"/>
              </w:rPr>
              <w:t>阈值更宽；</w:t>
            </w:r>
            <w:r>
              <w:rPr>
                <w:rFonts w:hint="eastAsia"/>
                <w:szCs w:val="21"/>
              </w:rPr>
              <w:t xml:space="preserve">EPA </w:t>
            </w:r>
            <w:r>
              <w:rPr>
                <w:rFonts w:hint="eastAsia"/>
                <w:szCs w:val="21"/>
              </w:rPr>
              <w:t>为人工为主，自动可选</w:t>
            </w:r>
          </w:p>
        </w:tc>
      </w:tr>
      <w:tr w:rsidR="00D51D8C" w14:paraId="4217CFEB" w14:textId="77777777">
        <w:tc>
          <w:tcPr>
            <w:tcW w:w="881" w:type="dxa"/>
            <w:vMerge/>
            <w:vAlign w:val="center"/>
          </w:tcPr>
          <w:p w14:paraId="05D7554A" w14:textId="77777777" w:rsidR="00D51D8C" w:rsidRDefault="00D51D8C">
            <w:pPr>
              <w:ind w:firstLineChars="0" w:firstLine="0"/>
              <w:jc w:val="center"/>
              <w:rPr>
                <w:szCs w:val="21"/>
              </w:rPr>
            </w:pPr>
          </w:p>
        </w:tc>
        <w:tc>
          <w:tcPr>
            <w:tcW w:w="1435" w:type="dxa"/>
            <w:vMerge/>
            <w:vAlign w:val="center"/>
          </w:tcPr>
          <w:p w14:paraId="30EFAB6F" w14:textId="77777777" w:rsidR="00D51D8C" w:rsidRDefault="00D51D8C">
            <w:pPr>
              <w:ind w:firstLineChars="0" w:firstLine="0"/>
              <w:jc w:val="center"/>
              <w:rPr>
                <w:szCs w:val="21"/>
              </w:rPr>
            </w:pPr>
          </w:p>
        </w:tc>
        <w:tc>
          <w:tcPr>
            <w:tcW w:w="1518" w:type="dxa"/>
            <w:vAlign w:val="center"/>
          </w:tcPr>
          <w:p w14:paraId="759099F6" w14:textId="77777777" w:rsidR="00D51D8C" w:rsidRDefault="00000000">
            <w:pPr>
              <w:ind w:firstLineChars="0" w:firstLine="0"/>
              <w:jc w:val="center"/>
              <w:rPr>
                <w:szCs w:val="21"/>
              </w:rPr>
            </w:pPr>
            <w:r>
              <w:rPr>
                <w:rFonts w:hint="eastAsia"/>
                <w:szCs w:val="21"/>
              </w:rPr>
              <w:t>运</w:t>
            </w:r>
            <w:proofErr w:type="gramStart"/>
            <w:r>
              <w:rPr>
                <w:rFonts w:hint="eastAsia"/>
                <w:szCs w:val="21"/>
              </w:rPr>
              <w:t>维模式</w:t>
            </w:r>
            <w:proofErr w:type="gramEnd"/>
          </w:p>
        </w:tc>
        <w:tc>
          <w:tcPr>
            <w:tcW w:w="2541" w:type="dxa"/>
            <w:vAlign w:val="center"/>
          </w:tcPr>
          <w:p w14:paraId="476F6E00" w14:textId="77777777" w:rsidR="00D51D8C" w:rsidRDefault="00000000">
            <w:pPr>
              <w:ind w:firstLineChars="0" w:firstLine="0"/>
              <w:jc w:val="center"/>
              <w:rPr>
                <w:szCs w:val="21"/>
              </w:rPr>
            </w:pPr>
            <w:r>
              <w:rPr>
                <w:rFonts w:hint="eastAsia"/>
                <w:szCs w:val="21"/>
              </w:rPr>
              <w:t>强制预测性维护，支持远程运维、专家诊断，降低运</w:t>
            </w:r>
            <w:proofErr w:type="gramStart"/>
            <w:r>
              <w:rPr>
                <w:rFonts w:hint="eastAsia"/>
                <w:szCs w:val="21"/>
              </w:rPr>
              <w:t>维成本</w:t>
            </w:r>
            <w:proofErr w:type="gramEnd"/>
            <w:r>
              <w:rPr>
                <w:rFonts w:hint="eastAsia"/>
                <w:szCs w:val="21"/>
              </w:rPr>
              <w:t xml:space="preserve"> 80%</w:t>
            </w:r>
          </w:p>
        </w:tc>
        <w:tc>
          <w:tcPr>
            <w:tcW w:w="2147" w:type="dxa"/>
            <w:vAlign w:val="center"/>
          </w:tcPr>
          <w:p w14:paraId="18DBC4C1" w14:textId="77777777" w:rsidR="00D51D8C" w:rsidRDefault="00000000">
            <w:pPr>
              <w:ind w:firstLineChars="0" w:firstLine="0"/>
              <w:jc w:val="center"/>
              <w:rPr>
                <w:szCs w:val="21"/>
              </w:rPr>
            </w:pPr>
            <w:r>
              <w:rPr>
                <w:rFonts w:hint="eastAsia"/>
                <w:szCs w:val="21"/>
              </w:rPr>
              <w:t>侧重预防性维护，无预测性要求；无远程运</w:t>
            </w:r>
            <w:proofErr w:type="gramStart"/>
            <w:r>
              <w:rPr>
                <w:rFonts w:hint="eastAsia"/>
                <w:szCs w:val="21"/>
              </w:rPr>
              <w:t>维系统</w:t>
            </w:r>
            <w:proofErr w:type="gramEnd"/>
            <w:r>
              <w:rPr>
                <w:rFonts w:hint="eastAsia"/>
                <w:szCs w:val="21"/>
              </w:rPr>
              <w:t>规范</w:t>
            </w:r>
          </w:p>
        </w:tc>
      </w:tr>
    </w:tbl>
    <w:p w14:paraId="26903FDE"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bookmarkStart w:id="10" w:name="_Toc7911"/>
      <w:r>
        <w:rPr>
          <w:rFonts w:ascii="黑体" w:eastAsia="黑体" w:hAnsi="黑体" w:cs="黑体" w:hint="eastAsia"/>
          <w:sz w:val="28"/>
          <w:szCs w:val="28"/>
        </w:rPr>
        <w:t xml:space="preserve">5  </w:t>
      </w:r>
      <w:bookmarkEnd w:id="10"/>
      <w:r>
        <w:rPr>
          <w:rFonts w:ascii="黑体" w:eastAsia="黑体" w:hAnsi="黑体" w:cs="黑体" w:hint="eastAsia"/>
          <w:sz w:val="28"/>
          <w:szCs w:val="28"/>
        </w:rPr>
        <w:t>以国际标准为基础的起草情况，以及是否合</w:t>
      </w:r>
      <w:proofErr w:type="gramStart"/>
      <w:r>
        <w:rPr>
          <w:rFonts w:ascii="黑体" w:eastAsia="黑体" w:hAnsi="黑体" w:cs="黑体" w:hint="eastAsia"/>
          <w:sz w:val="28"/>
          <w:szCs w:val="28"/>
        </w:rPr>
        <w:t>规</w:t>
      </w:r>
      <w:proofErr w:type="gramEnd"/>
      <w:r>
        <w:rPr>
          <w:rFonts w:ascii="黑体" w:eastAsia="黑体" w:hAnsi="黑体" w:cs="黑体" w:hint="eastAsia"/>
          <w:sz w:val="28"/>
          <w:szCs w:val="28"/>
        </w:rPr>
        <w:t>引用或者采用国际标准，并说明未采用国际标准的原因</w:t>
      </w:r>
    </w:p>
    <w:p w14:paraId="06EEE4CB" w14:textId="77777777" w:rsidR="00D51D8C" w:rsidRDefault="00000000">
      <w:pPr>
        <w:spacing w:beforeLines="50" w:before="156" w:line="360" w:lineRule="auto"/>
        <w:ind w:firstLineChars="200" w:firstLine="480"/>
        <w:rPr>
          <w:sz w:val="24"/>
          <w:szCs w:val="24"/>
        </w:rPr>
      </w:pPr>
      <w:bookmarkStart w:id="11" w:name="_Toc12730"/>
      <w:r>
        <w:rPr>
          <w:rFonts w:hint="eastAsia"/>
          <w:sz w:val="24"/>
          <w:szCs w:val="24"/>
        </w:rPr>
        <w:t>本文件在编写过程中未查询到相关的国际标准，所以没有参考对应的国际标准。</w:t>
      </w:r>
    </w:p>
    <w:p w14:paraId="15CBFB9E"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r>
        <w:rPr>
          <w:rFonts w:ascii="黑体" w:eastAsia="黑体" w:hAnsi="黑体" w:cs="黑体" w:hint="eastAsia"/>
          <w:sz w:val="28"/>
          <w:szCs w:val="28"/>
        </w:rPr>
        <w:t xml:space="preserve">6  </w:t>
      </w:r>
      <w:bookmarkEnd w:id="11"/>
      <w:r>
        <w:rPr>
          <w:rFonts w:ascii="黑体" w:eastAsia="黑体" w:hAnsi="黑体" w:cs="黑体" w:hint="eastAsia"/>
          <w:sz w:val="28"/>
          <w:szCs w:val="28"/>
        </w:rPr>
        <w:t>与有关法律、行政法规及相关标准的关系</w:t>
      </w:r>
    </w:p>
    <w:p w14:paraId="4D8094E5" w14:textId="77777777" w:rsidR="00D51D8C" w:rsidRDefault="00000000">
      <w:pPr>
        <w:spacing w:beforeLines="50" w:before="156" w:line="360" w:lineRule="auto"/>
        <w:ind w:firstLineChars="200" w:firstLine="480"/>
        <w:rPr>
          <w:sz w:val="24"/>
          <w:szCs w:val="24"/>
        </w:rPr>
      </w:pPr>
      <w:bookmarkStart w:id="12" w:name="_Toc12382"/>
      <w:r>
        <w:rPr>
          <w:rFonts w:hint="eastAsia"/>
          <w:sz w:val="24"/>
          <w:szCs w:val="24"/>
        </w:rPr>
        <w:t>目前国内尚无同类固体样品智能化检测系统的国家标准。相关的标准包括：</w:t>
      </w:r>
    </w:p>
    <w:p w14:paraId="58DCED61" w14:textId="77777777" w:rsidR="00D51D8C" w:rsidRDefault="00000000">
      <w:pPr>
        <w:spacing w:beforeLines="50" w:before="156" w:line="360" w:lineRule="auto"/>
        <w:ind w:firstLineChars="200" w:firstLine="480"/>
        <w:rPr>
          <w:sz w:val="24"/>
          <w:szCs w:val="24"/>
        </w:rPr>
      </w:pPr>
      <w:r>
        <w:rPr>
          <w:rFonts w:hint="eastAsia"/>
          <w:sz w:val="24"/>
          <w:szCs w:val="24"/>
        </w:rPr>
        <w:lastRenderedPageBreak/>
        <w:t>HJ 166</w:t>
      </w:r>
      <w:r>
        <w:rPr>
          <w:rFonts w:hint="eastAsia"/>
          <w:sz w:val="24"/>
          <w:szCs w:val="24"/>
        </w:rPr>
        <w:t>《土壤环境监测技术规范》：规定了土壤样品采集、制备、分析等手工操作要求，本文件在此基础上提出了自动化、智能化升级的技术要求。</w:t>
      </w:r>
    </w:p>
    <w:p w14:paraId="2E8B9A6D" w14:textId="77777777" w:rsidR="00D51D8C" w:rsidRDefault="00000000">
      <w:pPr>
        <w:spacing w:beforeLines="50" w:before="156" w:line="360" w:lineRule="auto"/>
        <w:ind w:firstLineChars="200" w:firstLine="480"/>
        <w:rPr>
          <w:sz w:val="24"/>
          <w:szCs w:val="24"/>
        </w:rPr>
      </w:pPr>
      <w:r>
        <w:rPr>
          <w:rFonts w:hint="eastAsia"/>
          <w:sz w:val="24"/>
          <w:szCs w:val="24"/>
        </w:rPr>
        <w:t>GB/T 27025</w:t>
      </w:r>
      <w:r>
        <w:rPr>
          <w:rFonts w:hint="eastAsia"/>
          <w:sz w:val="24"/>
          <w:szCs w:val="24"/>
        </w:rPr>
        <w:t>《检测和校准实验室能力的通用要求》：为实验室质量管理提供框架，本文件将其要求融入智能化系统的质量保证中。</w:t>
      </w:r>
    </w:p>
    <w:p w14:paraId="3CB00890" w14:textId="77777777" w:rsidR="00D51D8C" w:rsidRDefault="00000000">
      <w:pPr>
        <w:spacing w:beforeLines="50" w:before="156" w:line="360" w:lineRule="auto"/>
        <w:ind w:firstLineChars="200" w:firstLine="480"/>
        <w:rPr>
          <w:sz w:val="24"/>
          <w:szCs w:val="24"/>
        </w:rPr>
      </w:pPr>
      <w:r>
        <w:rPr>
          <w:rFonts w:hint="eastAsia"/>
          <w:sz w:val="24"/>
          <w:szCs w:val="24"/>
        </w:rPr>
        <w:t>T/CSES 149-2024</w:t>
      </w:r>
      <w:r>
        <w:rPr>
          <w:rFonts w:hint="eastAsia"/>
          <w:sz w:val="24"/>
          <w:szCs w:val="24"/>
        </w:rPr>
        <w:t>《水质</w:t>
      </w:r>
      <w:r>
        <w:rPr>
          <w:sz w:val="24"/>
          <w:szCs w:val="24"/>
        </w:rPr>
        <w:t>监测</w:t>
      </w:r>
      <w:r>
        <w:rPr>
          <w:rFonts w:hint="eastAsia"/>
          <w:sz w:val="24"/>
          <w:szCs w:val="24"/>
        </w:rPr>
        <w:t>智能无人实验室建设与运行维护技术要求》：虽为水质领域，但其系统建设思路可供参考。</w:t>
      </w:r>
    </w:p>
    <w:p w14:paraId="4845424C" w14:textId="77777777" w:rsidR="00D51D8C" w:rsidRDefault="00000000">
      <w:pPr>
        <w:spacing w:beforeLines="50" w:before="156" w:line="360" w:lineRule="auto"/>
        <w:ind w:firstLineChars="200" w:firstLine="480"/>
        <w:rPr>
          <w:sz w:val="24"/>
          <w:szCs w:val="24"/>
        </w:rPr>
      </w:pPr>
      <w:r>
        <w:rPr>
          <w:sz w:val="24"/>
          <w:szCs w:val="24"/>
        </w:rPr>
        <w:t xml:space="preserve">GB/T 31190 </w:t>
      </w:r>
      <w:r>
        <w:rPr>
          <w:sz w:val="24"/>
          <w:szCs w:val="24"/>
        </w:rPr>
        <w:t>实验室废弃化学品收集技术规范和</w:t>
      </w:r>
      <w:r>
        <w:rPr>
          <w:sz w:val="24"/>
          <w:szCs w:val="24"/>
        </w:rPr>
        <w:t xml:space="preserve">‌GB 18597 </w:t>
      </w:r>
      <w:r>
        <w:rPr>
          <w:sz w:val="24"/>
          <w:szCs w:val="24"/>
        </w:rPr>
        <w:t>《危险废物贮存污染控制标准》：为废物分类管理提供了依据和参考。本文件将其要求融入废物管理单元中。</w:t>
      </w:r>
    </w:p>
    <w:p w14:paraId="240D2A1D" w14:textId="77777777" w:rsidR="00D51D8C" w:rsidRDefault="00000000">
      <w:pPr>
        <w:spacing w:beforeLines="50" w:before="156" w:line="360" w:lineRule="auto"/>
        <w:ind w:firstLineChars="200" w:firstLine="480"/>
        <w:rPr>
          <w:sz w:val="24"/>
          <w:szCs w:val="24"/>
        </w:rPr>
      </w:pPr>
      <w:r>
        <w:rPr>
          <w:rFonts w:ascii="宋体" w:hAnsi="宋体" w:cs="宋体" w:hint="eastAsia"/>
          <w:sz w:val="24"/>
          <w:szCs w:val="24"/>
        </w:rPr>
        <w:t>另外，本标准和GB/T 46886-2025《智能检测装备通用技术要求》（即将实施，2026-07-01）对比，相似点是智能检测装备的顶层通用标准，覆盖系统架构、智能技术要求、测评方法，与分析仪器智能化系统的“系统集成、智能功能、质量管控”核心维度一致。</w:t>
      </w:r>
    </w:p>
    <w:p w14:paraId="28155F79"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r>
        <w:rPr>
          <w:rFonts w:ascii="黑体" w:eastAsia="黑体" w:hAnsi="黑体" w:cs="黑体" w:hint="eastAsia"/>
          <w:sz w:val="28"/>
          <w:szCs w:val="28"/>
        </w:rPr>
        <w:t xml:space="preserve">7  </w:t>
      </w:r>
      <w:bookmarkEnd w:id="12"/>
      <w:r>
        <w:rPr>
          <w:rFonts w:ascii="黑体" w:eastAsia="黑体" w:hAnsi="黑体" w:cs="黑体" w:hint="eastAsia"/>
          <w:sz w:val="28"/>
          <w:szCs w:val="28"/>
        </w:rPr>
        <w:t>重大分歧意见的处理经过和依据</w:t>
      </w:r>
    </w:p>
    <w:p w14:paraId="56FC5CA1" w14:textId="77777777" w:rsidR="00D51D8C" w:rsidRDefault="00000000">
      <w:pPr>
        <w:spacing w:line="360" w:lineRule="auto"/>
        <w:ind w:firstLineChars="200" w:firstLine="480"/>
        <w:rPr>
          <w:sz w:val="24"/>
          <w:szCs w:val="24"/>
        </w:rPr>
      </w:pPr>
      <w:r>
        <w:rPr>
          <w:rFonts w:hint="eastAsia"/>
          <w:sz w:val="24"/>
          <w:szCs w:val="24"/>
        </w:rPr>
        <w:t>无。</w:t>
      </w:r>
    </w:p>
    <w:p w14:paraId="2A7A64C1"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bookmarkStart w:id="13" w:name="_Toc29198"/>
      <w:r>
        <w:rPr>
          <w:rFonts w:ascii="黑体" w:eastAsia="黑体" w:hAnsi="黑体" w:cs="黑体" w:hint="eastAsia"/>
          <w:sz w:val="28"/>
          <w:szCs w:val="28"/>
        </w:rPr>
        <w:t xml:space="preserve">8 </w:t>
      </w:r>
      <w:bookmarkEnd w:id="13"/>
      <w:r>
        <w:rPr>
          <w:rFonts w:ascii="黑体" w:eastAsia="黑体" w:hAnsi="黑体" w:cs="黑体" w:hint="eastAsia"/>
          <w:sz w:val="28"/>
          <w:szCs w:val="28"/>
        </w:rPr>
        <w:t xml:space="preserve"> 涉及专利的情况</w:t>
      </w:r>
    </w:p>
    <w:p w14:paraId="347818E8" w14:textId="77777777" w:rsidR="00D51D8C" w:rsidRDefault="00000000">
      <w:pPr>
        <w:spacing w:beforeLines="50" w:before="156" w:line="360" w:lineRule="auto"/>
        <w:ind w:firstLineChars="200" w:firstLine="480"/>
        <w:rPr>
          <w:sz w:val="24"/>
          <w:szCs w:val="24"/>
        </w:rPr>
      </w:pPr>
      <w:r>
        <w:rPr>
          <w:rFonts w:hint="eastAsia"/>
          <w:sz w:val="24"/>
          <w:szCs w:val="24"/>
        </w:rPr>
        <w:t>无。</w:t>
      </w:r>
    </w:p>
    <w:p w14:paraId="7E60391F" w14:textId="77777777" w:rsidR="00D51D8C" w:rsidRDefault="00000000">
      <w:pPr>
        <w:spacing w:beforeLines="50" w:before="156" w:line="360" w:lineRule="auto"/>
        <w:ind w:firstLineChars="0" w:firstLine="0"/>
        <w:outlineLvl w:val="0"/>
        <w:rPr>
          <w:rFonts w:ascii="黑体" w:eastAsia="黑体" w:hAnsi="黑体" w:cs="黑体" w:hint="eastAsia"/>
          <w:sz w:val="28"/>
          <w:szCs w:val="28"/>
        </w:rPr>
      </w:pPr>
      <w:bookmarkStart w:id="14" w:name="_Toc2904"/>
      <w:r>
        <w:rPr>
          <w:rFonts w:ascii="黑体" w:eastAsia="黑体" w:hAnsi="黑体" w:cs="黑体" w:hint="eastAsia"/>
          <w:sz w:val="28"/>
          <w:szCs w:val="28"/>
        </w:rPr>
        <w:t xml:space="preserve">9  </w:t>
      </w:r>
      <w:bookmarkEnd w:id="14"/>
      <w:r>
        <w:rPr>
          <w:rFonts w:ascii="黑体" w:eastAsia="黑体" w:hAnsi="黑体" w:cs="黑体" w:hint="eastAsia"/>
          <w:sz w:val="28"/>
          <w:szCs w:val="28"/>
        </w:rPr>
        <w:t>实施国家标准的要求、以及组织措施、技术措施过渡期和实施日期的</w:t>
      </w:r>
      <w:proofErr w:type="gramStart"/>
      <w:r>
        <w:rPr>
          <w:rFonts w:ascii="黑体" w:eastAsia="黑体" w:hAnsi="黑体" w:cs="黑体" w:hint="eastAsia"/>
          <w:sz w:val="28"/>
          <w:szCs w:val="28"/>
        </w:rPr>
        <w:t>的</w:t>
      </w:r>
      <w:proofErr w:type="gramEnd"/>
      <w:r>
        <w:rPr>
          <w:rFonts w:ascii="黑体" w:eastAsia="黑体" w:hAnsi="黑体" w:cs="黑体" w:hint="eastAsia"/>
          <w:sz w:val="28"/>
          <w:szCs w:val="28"/>
        </w:rPr>
        <w:t>建议等措施</w:t>
      </w:r>
    </w:p>
    <w:p w14:paraId="4C7C46FB" w14:textId="77777777" w:rsidR="00D51D8C" w:rsidRDefault="00000000">
      <w:pPr>
        <w:spacing w:beforeLines="50" w:before="156" w:line="360" w:lineRule="auto"/>
        <w:ind w:firstLineChars="200" w:firstLine="480"/>
        <w:rPr>
          <w:sz w:val="24"/>
          <w:szCs w:val="24"/>
        </w:rPr>
      </w:pPr>
      <w:bookmarkStart w:id="15" w:name="_Toc7896"/>
      <w:r>
        <w:rPr>
          <w:rFonts w:hint="eastAsia"/>
          <w:sz w:val="24"/>
          <w:szCs w:val="24"/>
        </w:rPr>
        <w:t>建议发布后</w:t>
      </w:r>
      <w:r>
        <w:rPr>
          <w:rFonts w:hint="eastAsia"/>
          <w:sz w:val="24"/>
          <w:szCs w:val="24"/>
        </w:rPr>
        <w:t>6</w:t>
      </w:r>
      <w:r>
        <w:rPr>
          <w:rFonts w:hint="eastAsia"/>
          <w:sz w:val="24"/>
          <w:szCs w:val="24"/>
        </w:rPr>
        <w:t>个月实施，标委会秘书处组织在本行业进行宣</w:t>
      </w:r>
      <w:proofErr w:type="gramStart"/>
      <w:r>
        <w:rPr>
          <w:rFonts w:hint="eastAsia"/>
          <w:sz w:val="24"/>
          <w:szCs w:val="24"/>
        </w:rPr>
        <w:t>贯</w:t>
      </w:r>
      <w:proofErr w:type="gramEnd"/>
      <w:r>
        <w:rPr>
          <w:rFonts w:hint="eastAsia"/>
          <w:sz w:val="24"/>
          <w:szCs w:val="24"/>
        </w:rPr>
        <w:t>。</w:t>
      </w:r>
    </w:p>
    <w:p w14:paraId="56BBFA9A" w14:textId="77777777" w:rsidR="00D51D8C" w:rsidRDefault="00000000">
      <w:pPr>
        <w:spacing w:beforeLines="50" w:before="156" w:line="360" w:lineRule="auto"/>
        <w:ind w:firstLineChars="53" w:firstLine="148"/>
        <w:outlineLvl w:val="0"/>
        <w:rPr>
          <w:rFonts w:ascii="黑体" w:eastAsia="黑体" w:hAnsi="黑体" w:cs="黑体" w:hint="eastAsia"/>
          <w:sz w:val="28"/>
          <w:szCs w:val="28"/>
        </w:rPr>
      </w:pPr>
      <w:r>
        <w:rPr>
          <w:rFonts w:ascii="黑体" w:eastAsia="黑体" w:hAnsi="黑体" w:cs="黑体" w:hint="eastAsia"/>
          <w:sz w:val="28"/>
          <w:szCs w:val="28"/>
        </w:rPr>
        <w:t>10  其他应予说明的事项</w:t>
      </w:r>
      <w:bookmarkEnd w:id="15"/>
    </w:p>
    <w:p w14:paraId="0489C39C" w14:textId="3846EB26" w:rsidR="00D51D8C" w:rsidRDefault="00D44E3A">
      <w:pPr>
        <w:spacing w:line="360" w:lineRule="auto"/>
        <w:ind w:firstLineChars="200" w:firstLine="480"/>
        <w:rPr>
          <w:sz w:val="24"/>
          <w:szCs w:val="24"/>
        </w:rPr>
      </w:pPr>
      <w:r>
        <w:rPr>
          <w:rFonts w:hint="eastAsia"/>
          <w:sz w:val="24"/>
          <w:szCs w:val="24"/>
        </w:rPr>
        <w:t>无。</w:t>
      </w:r>
    </w:p>
    <w:p w14:paraId="3421ED19" w14:textId="77777777" w:rsidR="00D51D8C" w:rsidRDefault="00D51D8C">
      <w:pPr>
        <w:spacing w:line="360" w:lineRule="auto"/>
        <w:ind w:firstLineChars="0" w:firstLine="0"/>
        <w:rPr>
          <w:sz w:val="24"/>
          <w:szCs w:val="24"/>
        </w:rPr>
      </w:pPr>
    </w:p>
    <w:sectPr w:rsidR="00D51D8C">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A4FEB" w14:textId="77777777" w:rsidR="004C38E5" w:rsidRDefault="004C38E5">
      <w:pPr>
        <w:ind w:firstLine="315"/>
      </w:pPr>
      <w:r>
        <w:separator/>
      </w:r>
    </w:p>
  </w:endnote>
  <w:endnote w:type="continuationSeparator" w:id="0">
    <w:p w14:paraId="0FB1F3BD" w14:textId="77777777" w:rsidR="004C38E5" w:rsidRDefault="004C38E5">
      <w:pPr>
        <w:ind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2078" w14:textId="77777777" w:rsidR="00D51D8C" w:rsidRDefault="00D51D8C">
    <w:pPr>
      <w:pStyle w:val="ac"/>
      <w:ind w:firstLine="27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AA95C" w14:textId="77777777" w:rsidR="00D51D8C" w:rsidRDefault="00D51D8C">
    <w:pPr>
      <w:pStyle w:val="ac"/>
      <w:ind w:firstLine="27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B659" w14:textId="77777777" w:rsidR="00D51D8C" w:rsidRDefault="00D51D8C">
    <w:pPr>
      <w:pStyle w:val="ac"/>
      <w:ind w:firstLine="27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BDB97" w14:textId="77777777" w:rsidR="00D51D8C" w:rsidRDefault="00000000">
    <w:pPr>
      <w:pStyle w:val="ac"/>
      <w:ind w:firstLine="270"/>
    </w:pPr>
    <w:r>
      <w:rPr>
        <w:noProof/>
      </w:rPr>
      <mc:AlternateContent>
        <mc:Choice Requires="wps">
          <w:drawing>
            <wp:anchor distT="0" distB="0" distL="114300" distR="114300" simplePos="0" relativeHeight="251659264" behindDoc="0" locked="0" layoutInCell="1" allowOverlap="1" wp14:anchorId="523B1CEA" wp14:editId="40D12FF3">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29492E" w14:textId="77777777" w:rsidR="00D51D8C" w:rsidRDefault="00000000">
                          <w:pPr>
                            <w:pStyle w:val="ac"/>
                            <w:ind w:firstLine="270"/>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12</w:t>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23B1CEA"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429492E" w14:textId="77777777" w:rsidR="00D51D8C" w:rsidRDefault="00000000">
                    <w:pPr>
                      <w:pStyle w:val="ac"/>
                      <w:ind w:firstLine="270"/>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12</w:t>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6C4B" w14:textId="77777777" w:rsidR="004C38E5" w:rsidRDefault="004C38E5">
      <w:pPr>
        <w:ind w:firstLine="315"/>
      </w:pPr>
      <w:r>
        <w:separator/>
      </w:r>
    </w:p>
  </w:footnote>
  <w:footnote w:type="continuationSeparator" w:id="0">
    <w:p w14:paraId="05D45759" w14:textId="77777777" w:rsidR="004C38E5" w:rsidRDefault="004C38E5">
      <w:pPr>
        <w:ind w:firstLine="31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D3D3" w14:textId="77777777" w:rsidR="00D51D8C" w:rsidRDefault="00D51D8C">
    <w:pPr>
      <w:pStyle w:val="ad"/>
      <w:ind w:firstLine="2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C8F4" w14:textId="77777777" w:rsidR="00D51D8C" w:rsidRDefault="00D51D8C">
    <w:pPr>
      <w:pStyle w:val="ad"/>
      <w:ind w:firstLine="2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7104" w14:textId="77777777" w:rsidR="00D51D8C" w:rsidRDefault="00D51D8C">
    <w:pPr>
      <w:pStyle w:val="ad"/>
      <w:ind w:firstLine="27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EB7724"/>
    <w:multiLevelType w:val="singleLevel"/>
    <w:tmpl w:val="F3EB7724"/>
    <w:lvl w:ilvl="0">
      <w:start w:val="1"/>
      <w:numFmt w:val="decimal"/>
      <w:lvlText w:val="%1."/>
      <w:lvlJc w:val="left"/>
      <w:pPr>
        <w:tabs>
          <w:tab w:val="num" w:pos="312"/>
        </w:tabs>
      </w:pPr>
    </w:lvl>
  </w:abstractNum>
  <w:abstractNum w:abstractNumId="1" w15:restartNumberingAfterBreak="0">
    <w:nsid w:val="FAFB8A1A"/>
    <w:multiLevelType w:val="singleLevel"/>
    <w:tmpl w:val="FAFB8A1A"/>
    <w:lvl w:ilvl="0">
      <w:start w:val="1"/>
      <w:numFmt w:val="decimal"/>
      <w:suff w:val="space"/>
      <w:lvlText w:val="%1."/>
      <w:lvlJc w:val="left"/>
    </w:lvl>
  </w:abstractNum>
  <w:abstractNum w:abstractNumId="2" w15:restartNumberingAfterBreak="0">
    <w:nsid w:val="2AAD3944"/>
    <w:multiLevelType w:val="singleLevel"/>
    <w:tmpl w:val="2AAD3944"/>
    <w:lvl w:ilvl="0">
      <w:start w:val="1"/>
      <w:numFmt w:val="decimal"/>
      <w:lvlText w:val="%1."/>
      <w:lvlJc w:val="left"/>
      <w:pPr>
        <w:tabs>
          <w:tab w:val="num" w:pos="312"/>
        </w:tabs>
      </w:pPr>
    </w:lvl>
  </w:abstractNum>
  <w:abstractNum w:abstractNumId="3"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927688757">
    <w:abstractNumId w:val="4"/>
  </w:num>
  <w:num w:numId="2" w16cid:durableId="248463723">
    <w:abstractNumId w:val="3"/>
  </w:num>
  <w:num w:numId="3" w16cid:durableId="1166245395">
    <w:abstractNumId w:val="1"/>
  </w:num>
  <w:num w:numId="4" w16cid:durableId="94131099">
    <w:abstractNumId w:val="0"/>
  </w:num>
  <w:num w:numId="5" w16cid:durableId="676159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wOWY1OThjOTBmY2I1M2U5OGEyOWE4OWU3MTI0MDIifQ=="/>
  </w:docVars>
  <w:rsids>
    <w:rsidRoot w:val="00691137"/>
    <w:rsid w:val="BC3ECA77"/>
    <w:rsid w:val="CF7F1A3D"/>
    <w:rsid w:val="DFF68B55"/>
    <w:rsid w:val="EFAB997F"/>
    <w:rsid w:val="F7EE7987"/>
    <w:rsid w:val="FEFE21AC"/>
    <w:rsid w:val="FF1C49C1"/>
    <w:rsid w:val="FF7FED45"/>
    <w:rsid w:val="FFFF94F7"/>
    <w:rsid w:val="0003040E"/>
    <w:rsid w:val="00055D38"/>
    <w:rsid w:val="0005752E"/>
    <w:rsid w:val="0006454F"/>
    <w:rsid w:val="0009273E"/>
    <w:rsid w:val="000B6E3A"/>
    <w:rsid w:val="000C3EF5"/>
    <w:rsid w:val="000C6962"/>
    <w:rsid w:val="001107DB"/>
    <w:rsid w:val="001528C4"/>
    <w:rsid w:val="001660C6"/>
    <w:rsid w:val="00191A38"/>
    <w:rsid w:val="001E05A9"/>
    <w:rsid w:val="001E5731"/>
    <w:rsid w:val="002111B8"/>
    <w:rsid w:val="00223512"/>
    <w:rsid w:val="00262778"/>
    <w:rsid w:val="00263011"/>
    <w:rsid w:val="0029002F"/>
    <w:rsid w:val="0029230C"/>
    <w:rsid w:val="002A4E3A"/>
    <w:rsid w:val="002A64E7"/>
    <w:rsid w:val="002B590B"/>
    <w:rsid w:val="002C7194"/>
    <w:rsid w:val="002D024E"/>
    <w:rsid w:val="002D6C11"/>
    <w:rsid w:val="002E510C"/>
    <w:rsid w:val="002F4E75"/>
    <w:rsid w:val="003123D1"/>
    <w:rsid w:val="00343A39"/>
    <w:rsid w:val="0035796F"/>
    <w:rsid w:val="00361EF2"/>
    <w:rsid w:val="00393626"/>
    <w:rsid w:val="003A3F7B"/>
    <w:rsid w:val="003B5857"/>
    <w:rsid w:val="003D40FF"/>
    <w:rsid w:val="003D5FC5"/>
    <w:rsid w:val="003F1D88"/>
    <w:rsid w:val="0045648F"/>
    <w:rsid w:val="00460F82"/>
    <w:rsid w:val="00466713"/>
    <w:rsid w:val="00490052"/>
    <w:rsid w:val="0049166D"/>
    <w:rsid w:val="004A32F2"/>
    <w:rsid w:val="004C2CBE"/>
    <w:rsid w:val="004C38E5"/>
    <w:rsid w:val="004D4AEB"/>
    <w:rsid w:val="004D7C5D"/>
    <w:rsid w:val="004F1CF0"/>
    <w:rsid w:val="0051296E"/>
    <w:rsid w:val="00525C91"/>
    <w:rsid w:val="00525E10"/>
    <w:rsid w:val="00527060"/>
    <w:rsid w:val="00527ECB"/>
    <w:rsid w:val="00537E04"/>
    <w:rsid w:val="005408BF"/>
    <w:rsid w:val="00540FA0"/>
    <w:rsid w:val="0057233D"/>
    <w:rsid w:val="00575D2D"/>
    <w:rsid w:val="005B1077"/>
    <w:rsid w:val="005B686E"/>
    <w:rsid w:val="005D1FB8"/>
    <w:rsid w:val="005E235A"/>
    <w:rsid w:val="005F1F2B"/>
    <w:rsid w:val="005F365E"/>
    <w:rsid w:val="005F54F1"/>
    <w:rsid w:val="006013B4"/>
    <w:rsid w:val="00603806"/>
    <w:rsid w:val="006425F8"/>
    <w:rsid w:val="00651473"/>
    <w:rsid w:val="00677D5D"/>
    <w:rsid w:val="00691137"/>
    <w:rsid w:val="00694F6E"/>
    <w:rsid w:val="006A4B02"/>
    <w:rsid w:val="006B07B2"/>
    <w:rsid w:val="006D781A"/>
    <w:rsid w:val="006E7061"/>
    <w:rsid w:val="00704746"/>
    <w:rsid w:val="00710A3A"/>
    <w:rsid w:val="007143AF"/>
    <w:rsid w:val="00732078"/>
    <w:rsid w:val="0074012B"/>
    <w:rsid w:val="0074034F"/>
    <w:rsid w:val="00745D6F"/>
    <w:rsid w:val="00767DE3"/>
    <w:rsid w:val="007837D9"/>
    <w:rsid w:val="007F251C"/>
    <w:rsid w:val="007F7B65"/>
    <w:rsid w:val="00801E1D"/>
    <w:rsid w:val="00810283"/>
    <w:rsid w:val="0081752C"/>
    <w:rsid w:val="008274A2"/>
    <w:rsid w:val="00861DAB"/>
    <w:rsid w:val="00883F5B"/>
    <w:rsid w:val="008A7E12"/>
    <w:rsid w:val="008B7DFC"/>
    <w:rsid w:val="008D200E"/>
    <w:rsid w:val="008D4599"/>
    <w:rsid w:val="008D53C2"/>
    <w:rsid w:val="008D5CED"/>
    <w:rsid w:val="008D65A4"/>
    <w:rsid w:val="008E3BBC"/>
    <w:rsid w:val="008F60F0"/>
    <w:rsid w:val="009020DC"/>
    <w:rsid w:val="00914D40"/>
    <w:rsid w:val="00922F9F"/>
    <w:rsid w:val="00932D15"/>
    <w:rsid w:val="0093460F"/>
    <w:rsid w:val="00941521"/>
    <w:rsid w:val="009666F5"/>
    <w:rsid w:val="00987044"/>
    <w:rsid w:val="00993724"/>
    <w:rsid w:val="009A17E6"/>
    <w:rsid w:val="009A4DA1"/>
    <w:rsid w:val="009B10FF"/>
    <w:rsid w:val="009B38A9"/>
    <w:rsid w:val="009C7EE8"/>
    <w:rsid w:val="00A219AB"/>
    <w:rsid w:val="00A2754C"/>
    <w:rsid w:val="00A51179"/>
    <w:rsid w:val="00A741B5"/>
    <w:rsid w:val="00A776C5"/>
    <w:rsid w:val="00A80608"/>
    <w:rsid w:val="00A97115"/>
    <w:rsid w:val="00AD4B3E"/>
    <w:rsid w:val="00AE2C60"/>
    <w:rsid w:val="00AF67FE"/>
    <w:rsid w:val="00B2671B"/>
    <w:rsid w:val="00B33468"/>
    <w:rsid w:val="00B52B75"/>
    <w:rsid w:val="00B54A2D"/>
    <w:rsid w:val="00B553BB"/>
    <w:rsid w:val="00B5540D"/>
    <w:rsid w:val="00B7077C"/>
    <w:rsid w:val="00BB24AE"/>
    <w:rsid w:val="00BB42A0"/>
    <w:rsid w:val="00C4779A"/>
    <w:rsid w:val="00C70D1B"/>
    <w:rsid w:val="00C747F2"/>
    <w:rsid w:val="00C96EA6"/>
    <w:rsid w:val="00CF5500"/>
    <w:rsid w:val="00D06714"/>
    <w:rsid w:val="00D43687"/>
    <w:rsid w:val="00D437E6"/>
    <w:rsid w:val="00D44E3A"/>
    <w:rsid w:val="00D50D0A"/>
    <w:rsid w:val="00D51D8C"/>
    <w:rsid w:val="00D533A9"/>
    <w:rsid w:val="00D70A54"/>
    <w:rsid w:val="00DA6E59"/>
    <w:rsid w:val="00DC09BA"/>
    <w:rsid w:val="00DC47D3"/>
    <w:rsid w:val="00DE52A9"/>
    <w:rsid w:val="00E079A7"/>
    <w:rsid w:val="00E53F9D"/>
    <w:rsid w:val="00E85196"/>
    <w:rsid w:val="00ED594F"/>
    <w:rsid w:val="00EE7916"/>
    <w:rsid w:val="00F002AF"/>
    <w:rsid w:val="00F00DD4"/>
    <w:rsid w:val="00F00E4D"/>
    <w:rsid w:val="00F119C2"/>
    <w:rsid w:val="00F556A4"/>
    <w:rsid w:val="00F60A01"/>
    <w:rsid w:val="00F626C6"/>
    <w:rsid w:val="00F81FF0"/>
    <w:rsid w:val="00F8220B"/>
    <w:rsid w:val="00F83CC9"/>
    <w:rsid w:val="00F8526F"/>
    <w:rsid w:val="00FE3734"/>
    <w:rsid w:val="00FE7320"/>
    <w:rsid w:val="01233A9E"/>
    <w:rsid w:val="014337F8"/>
    <w:rsid w:val="01916216"/>
    <w:rsid w:val="020C62E0"/>
    <w:rsid w:val="021D229B"/>
    <w:rsid w:val="029A7D90"/>
    <w:rsid w:val="03457CFC"/>
    <w:rsid w:val="035977B0"/>
    <w:rsid w:val="03D1158F"/>
    <w:rsid w:val="03DE13B0"/>
    <w:rsid w:val="04185410"/>
    <w:rsid w:val="041F679F"/>
    <w:rsid w:val="047D5273"/>
    <w:rsid w:val="04B50EB1"/>
    <w:rsid w:val="05031C1C"/>
    <w:rsid w:val="050339CA"/>
    <w:rsid w:val="052027CE"/>
    <w:rsid w:val="05600E1D"/>
    <w:rsid w:val="065016CB"/>
    <w:rsid w:val="06C61153"/>
    <w:rsid w:val="074D00C0"/>
    <w:rsid w:val="07554285"/>
    <w:rsid w:val="07891548"/>
    <w:rsid w:val="08807E2A"/>
    <w:rsid w:val="08986B20"/>
    <w:rsid w:val="09774D42"/>
    <w:rsid w:val="09CB6A81"/>
    <w:rsid w:val="09E57B43"/>
    <w:rsid w:val="09F6272A"/>
    <w:rsid w:val="0A444993"/>
    <w:rsid w:val="0A826F83"/>
    <w:rsid w:val="0ADD2F92"/>
    <w:rsid w:val="0B00275A"/>
    <w:rsid w:val="0B536D2E"/>
    <w:rsid w:val="0B5573E2"/>
    <w:rsid w:val="0C197F77"/>
    <w:rsid w:val="0C4B18C7"/>
    <w:rsid w:val="0D487A4F"/>
    <w:rsid w:val="0D5D5C42"/>
    <w:rsid w:val="0D674D12"/>
    <w:rsid w:val="0DAF6935"/>
    <w:rsid w:val="0DF8514A"/>
    <w:rsid w:val="0E0407B3"/>
    <w:rsid w:val="0E527771"/>
    <w:rsid w:val="0E603C3C"/>
    <w:rsid w:val="0E9B1118"/>
    <w:rsid w:val="0EF453F7"/>
    <w:rsid w:val="0F254472"/>
    <w:rsid w:val="0F5614E4"/>
    <w:rsid w:val="0F955B67"/>
    <w:rsid w:val="0FB029A1"/>
    <w:rsid w:val="0FC91CB4"/>
    <w:rsid w:val="0FD909AF"/>
    <w:rsid w:val="10B80B21"/>
    <w:rsid w:val="10F949C9"/>
    <w:rsid w:val="12633CFA"/>
    <w:rsid w:val="12AE03B6"/>
    <w:rsid w:val="12E070F9"/>
    <w:rsid w:val="132711CC"/>
    <w:rsid w:val="14531B4D"/>
    <w:rsid w:val="147E4E1C"/>
    <w:rsid w:val="14B7032D"/>
    <w:rsid w:val="14DB4E4E"/>
    <w:rsid w:val="14EA24B1"/>
    <w:rsid w:val="14ED5D47"/>
    <w:rsid w:val="155E69FB"/>
    <w:rsid w:val="1594241D"/>
    <w:rsid w:val="15A9236C"/>
    <w:rsid w:val="15DB275C"/>
    <w:rsid w:val="15F335E7"/>
    <w:rsid w:val="160E0421"/>
    <w:rsid w:val="176302F9"/>
    <w:rsid w:val="17681DB3"/>
    <w:rsid w:val="186000FE"/>
    <w:rsid w:val="18694035"/>
    <w:rsid w:val="187622AE"/>
    <w:rsid w:val="195645B9"/>
    <w:rsid w:val="199318E6"/>
    <w:rsid w:val="19AE2A17"/>
    <w:rsid w:val="19B25567"/>
    <w:rsid w:val="19C239FC"/>
    <w:rsid w:val="19E5593D"/>
    <w:rsid w:val="1A491045"/>
    <w:rsid w:val="1A491A28"/>
    <w:rsid w:val="1B1E1106"/>
    <w:rsid w:val="1B1F670F"/>
    <w:rsid w:val="1BEF65FF"/>
    <w:rsid w:val="1C1D316C"/>
    <w:rsid w:val="1C2278EB"/>
    <w:rsid w:val="1C815C96"/>
    <w:rsid w:val="1C9B1C69"/>
    <w:rsid w:val="1CBC0BD7"/>
    <w:rsid w:val="1CBF06C7"/>
    <w:rsid w:val="1D097B94"/>
    <w:rsid w:val="1D95549A"/>
    <w:rsid w:val="1DBF6E5C"/>
    <w:rsid w:val="1E401394"/>
    <w:rsid w:val="1E892D3B"/>
    <w:rsid w:val="1F536EA5"/>
    <w:rsid w:val="1F5548E2"/>
    <w:rsid w:val="1F58270D"/>
    <w:rsid w:val="1F5C77EF"/>
    <w:rsid w:val="1F615A66"/>
    <w:rsid w:val="1FB262C1"/>
    <w:rsid w:val="1FE67D19"/>
    <w:rsid w:val="1FF24D88"/>
    <w:rsid w:val="205377EF"/>
    <w:rsid w:val="214E697E"/>
    <w:rsid w:val="21E112ED"/>
    <w:rsid w:val="220903C1"/>
    <w:rsid w:val="22447B69"/>
    <w:rsid w:val="227B299A"/>
    <w:rsid w:val="227E06DD"/>
    <w:rsid w:val="22A719E1"/>
    <w:rsid w:val="22A7378F"/>
    <w:rsid w:val="22D14CB0"/>
    <w:rsid w:val="22D9209E"/>
    <w:rsid w:val="23151D60"/>
    <w:rsid w:val="231D1CA3"/>
    <w:rsid w:val="231E5170"/>
    <w:rsid w:val="23A7214A"/>
    <w:rsid w:val="23EC5091"/>
    <w:rsid w:val="23F7D01C"/>
    <w:rsid w:val="23F952A8"/>
    <w:rsid w:val="241A4435"/>
    <w:rsid w:val="24457704"/>
    <w:rsid w:val="246F51E5"/>
    <w:rsid w:val="249473FB"/>
    <w:rsid w:val="24AC7783"/>
    <w:rsid w:val="2503311B"/>
    <w:rsid w:val="2523145F"/>
    <w:rsid w:val="257B0F03"/>
    <w:rsid w:val="2603559A"/>
    <w:rsid w:val="26977FBF"/>
    <w:rsid w:val="26D94133"/>
    <w:rsid w:val="26E50D2A"/>
    <w:rsid w:val="272A5C4E"/>
    <w:rsid w:val="27392E24"/>
    <w:rsid w:val="274F2F37"/>
    <w:rsid w:val="27846795"/>
    <w:rsid w:val="27DD7C53"/>
    <w:rsid w:val="27E2423A"/>
    <w:rsid w:val="287E31E4"/>
    <w:rsid w:val="28A95D87"/>
    <w:rsid w:val="293A0E30"/>
    <w:rsid w:val="297F5466"/>
    <w:rsid w:val="29AA65F9"/>
    <w:rsid w:val="29DA6B40"/>
    <w:rsid w:val="29E4176D"/>
    <w:rsid w:val="2ADA0B26"/>
    <w:rsid w:val="2B1B2F6C"/>
    <w:rsid w:val="2B577D1D"/>
    <w:rsid w:val="2BC83FDD"/>
    <w:rsid w:val="2C1D2D14"/>
    <w:rsid w:val="2C290805"/>
    <w:rsid w:val="2C825740"/>
    <w:rsid w:val="2C842D93"/>
    <w:rsid w:val="2CAB62FD"/>
    <w:rsid w:val="2CB5119F"/>
    <w:rsid w:val="2CC338BC"/>
    <w:rsid w:val="2CC94C4A"/>
    <w:rsid w:val="2D320A41"/>
    <w:rsid w:val="2D484219"/>
    <w:rsid w:val="2D574004"/>
    <w:rsid w:val="2D81009E"/>
    <w:rsid w:val="2DFA635E"/>
    <w:rsid w:val="2E7806D6"/>
    <w:rsid w:val="2EA209AC"/>
    <w:rsid w:val="2EC35DF5"/>
    <w:rsid w:val="2EED2E72"/>
    <w:rsid w:val="2F624393"/>
    <w:rsid w:val="2FBC1D2B"/>
    <w:rsid w:val="2FC5779A"/>
    <w:rsid w:val="2FE37DD1"/>
    <w:rsid w:val="31102E48"/>
    <w:rsid w:val="31AA0A84"/>
    <w:rsid w:val="32250B75"/>
    <w:rsid w:val="32D83E39"/>
    <w:rsid w:val="32DD4FAB"/>
    <w:rsid w:val="32EE71B8"/>
    <w:rsid w:val="33896EE1"/>
    <w:rsid w:val="34515C51"/>
    <w:rsid w:val="347E456C"/>
    <w:rsid w:val="34E557EF"/>
    <w:rsid w:val="34F12F90"/>
    <w:rsid w:val="359202CF"/>
    <w:rsid w:val="35AF0E81"/>
    <w:rsid w:val="35BB5A78"/>
    <w:rsid w:val="36162CAE"/>
    <w:rsid w:val="363E3297"/>
    <w:rsid w:val="36E7464B"/>
    <w:rsid w:val="370C2303"/>
    <w:rsid w:val="372E5DD5"/>
    <w:rsid w:val="37CB2F5F"/>
    <w:rsid w:val="37F708BD"/>
    <w:rsid w:val="37FE39FA"/>
    <w:rsid w:val="38082ACA"/>
    <w:rsid w:val="38B44A00"/>
    <w:rsid w:val="39216B01"/>
    <w:rsid w:val="392F2657"/>
    <w:rsid w:val="396B1563"/>
    <w:rsid w:val="39D47280"/>
    <w:rsid w:val="39F72DF7"/>
    <w:rsid w:val="3A04277A"/>
    <w:rsid w:val="3A1B6E54"/>
    <w:rsid w:val="3A5515C3"/>
    <w:rsid w:val="3AE67E72"/>
    <w:rsid w:val="3AEA6D99"/>
    <w:rsid w:val="3B117EE8"/>
    <w:rsid w:val="3B3F4ABE"/>
    <w:rsid w:val="3B765F9D"/>
    <w:rsid w:val="3BC66F24"/>
    <w:rsid w:val="3BD57167"/>
    <w:rsid w:val="3C485B8B"/>
    <w:rsid w:val="3CDD12F1"/>
    <w:rsid w:val="3DAB75BC"/>
    <w:rsid w:val="3DEA67CE"/>
    <w:rsid w:val="3E047890"/>
    <w:rsid w:val="3E2972F7"/>
    <w:rsid w:val="3E6F5651"/>
    <w:rsid w:val="3E9C3F6D"/>
    <w:rsid w:val="3ECF60F0"/>
    <w:rsid w:val="3F1D32FF"/>
    <w:rsid w:val="3F9966FE"/>
    <w:rsid w:val="3FC01EDD"/>
    <w:rsid w:val="4004001B"/>
    <w:rsid w:val="40311667"/>
    <w:rsid w:val="406B009A"/>
    <w:rsid w:val="40A9471F"/>
    <w:rsid w:val="40F40EA9"/>
    <w:rsid w:val="41DA7286"/>
    <w:rsid w:val="422E137F"/>
    <w:rsid w:val="427C033D"/>
    <w:rsid w:val="435E5C94"/>
    <w:rsid w:val="43762FDE"/>
    <w:rsid w:val="43B43B06"/>
    <w:rsid w:val="4404683C"/>
    <w:rsid w:val="441049B7"/>
    <w:rsid w:val="445F1CC4"/>
    <w:rsid w:val="446948F1"/>
    <w:rsid w:val="448B0C47"/>
    <w:rsid w:val="44A8366B"/>
    <w:rsid w:val="45126D36"/>
    <w:rsid w:val="451747CB"/>
    <w:rsid w:val="4550785F"/>
    <w:rsid w:val="45E306D3"/>
    <w:rsid w:val="45E71F71"/>
    <w:rsid w:val="45FF375F"/>
    <w:rsid w:val="462F3918"/>
    <w:rsid w:val="4640228D"/>
    <w:rsid w:val="46426740"/>
    <w:rsid w:val="466060B3"/>
    <w:rsid w:val="46A936CA"/>
    <w:rsid w:val="47486A40"/>
    <w:rsid w:val="47525B10"/>
    <w:rsid w:val="47A46509"/>
    <w:rsid w:val="47DB5B06"/>
    <w:rsid w:val="48221986"/>
    <w:rsid w:val="48537D92"/>
    <w:rsid w:val="49261002"/>
    <w:rsid w:val="495A212D"/>
    <w:rsid w:val="4972249A"/>
    <w:rsid w:val="49D95B7D"/>
    <w:rsid w:val="4A0155CC"/>
    <w:rsid w:val="4A62606A"/>
    <w:rsid w:val="4AC747CE"/>
    <w:rsid w:val="4ADF590D"/>
    <w:rsid w:val="4B021694"/>
    <w:rsid w:val="4B3C4B0D"/>
    <w:rsid w:val="4B4734B2"/>
    <w:rsid w:val="4B693428"/>
    <w:rsid w:val="4B842010"/>
    <w:rsid w:val="4BA24355"/>
    <w:rsid w:val="4BFC429C"/>
    <w:rsid w:val="4C0575F5"/>
    <w:rsid w:val="4C2A2BB8"/>
    <w:rsid w:val="4C3B4DC5"/>
    <w:rsid w:val="4C5145E8"/>
    <w:rsid w:val="4C537145"/>
    <w:rsid w:val="4C5B648B"/>
    <w:rsid w:val="4C7E6688"/>
    <w:rsid w:val="4D1A5535"/>
    <w:rsid w:val="4DE57362"/>
    <w:rsid w:val="4E094A4F"/>
    <w:rsid w:val="4E290021"/>
    <w:rsid w:val="4E4B32B9"/>
    <w:rsid w:val="4F2558B8"/>
    <w:rsid w:val="4F561F16"/>
    <w:rsid w:val="4F562811"/>
    <w:rsid w:val="4F701229"/>
    <w:rsid w:val="4F763C43"/>
    <w:rsid w:val="4FF21C3E"/>
    <w:rsid w:val="506348EA"/>
    <w:rsid w:val="509E3B74"/>
    <w:rsid w:val="50A90064"/>
    <w:rsid w:val="50B11AF9"/>
    <w:rsid w:val="511E1380"/>
    <w:rsid w:val="51A3522E"/>
    <w:rsid w:val="52755117"/>
    <w:rsid w:val="5290573F"/>
    <w:rsid w:val="52A631B4"/>
    <w:rsid w:val="52C27FEE"/>
    <w:rsid w:val="52D62801"/>
    <w:rsid w:val="532365B3"/>
    <w:rsid w:val="53456529"/>
    <w:rsid w:val="536746F1"/>
    <w:rsid w:val="538C23AA"/>
    <w:rsid w:val="53D855EF"/>
    <w:rsid w:val="53E2021C"/>
    <w:rsid w:val="54AB273B"/>
    <w:rsid w:val="54AF45A2"/>
    <w:rsid w:val="550146D2"/>
    <w:rsid w:val="55180399"/>
    <w:rsid w:val="55F67FAE"/>
    <w:rsid w:val="566E5D97"/>
    <w:rsid w:val="56986659"/>
    <w:rsid w:val="56A63783"/>
    <w:rsid w:val="575B6759"/>
    <w:rsid w:val="57853E32"/>
    <w:rsid w:val="580E15DF"/>
    <w:rsid w:val="589C4E3D"/>
    <w:rsid w:val="58DF2304"/>
    <w:rsid w:val="59284923"/>
    <w:rsid w:val="593C7BB6"/>
    <w:rsid w:val="594218B0"/>
    <w:rsid w:val="597933D0"/>
    <w:rsid w:val="5A082801"/>
    <w:rsid w:val="5A362E88"/>
    <w:rsid w:val="5A8505C4"/>
    <w:rsid w:val="5B296730"/>
    <w:rsid w:val="5B5C6B06"/>
    <w:rsid w:val="5B657050"/>
    <w:rsid w:val="5BD3501A"/>
    <w:rsid w:val="5BE72873"/>
    <w:rsid w:val="5C6E2080"/>
    <w:rsid w:val="5C700ABB"/>
    <w:rsid w:val="5CBF10FA"/>
    <w:rsid w:val="5CC74588"/>
    <w:rsid w:val="5CD8040E"/>
    <w:rsid w:val="5D243653"/>
    <w:rsid w:val="5D2D075A"/>
    <w:rsid w:val="5DFF0874"/>
    <w:rsid w:val="5E3D0E9D"/>
    <w:rsid w:val="5E9A1E1F"/>
    <w:rsid w:val="5F630463"/>
    <w:rsid w:val="5F70492E"/>
    <w:rsid w:val="5F903222"/>
    <w:rsid w:val="606E3563"/>
    <w:rsid w:val="61146296"/>
    <w:rsid w:val="61616C24"/>
    <w:rsid w:val="61BB4DBF"/>
    <w:rsid w:val="62260694"/>
    <w:rsid w:val="62483940"/>
    <w:rsid w:val="62562501"/>
    <w:rsid w:val="62917095"/>
    <w:rsid w:val="62CA07F9"/>
    <w:rsid w:val="62D60F4C"/>
    <w:rsid w:val="63AD6150"/>
    <w:rsid w:val="64C86FBA"/>
    <w:rsid w:val="65445255"/>
    <w:rsid w:val="654C7BEB"/>
    <w:rsid w:val="65586590"/>
    <w:rsid w:val="65684C95"/>
    <w:rsid w:val="65766A16"/>
    <w:rsid w:val="659F4B63"/>
    <w:rsid w:val="668D2269"/>
    <w:rsid w:val="66B912B0"/>
    <w:rsid w:val="66E005EB"/>
    <w:rsid w:val="66E04A8F"/>
    <w:rsid w:val="67281F92"/>
    <w:rsid w:val="67335249"/>
    <w:rsid w:val="678278F4"/>
    <w:rsid w:val="67DC0256"/>
    <w:rsid w:val="681C1AF7"/>
    <w:rsid w:val="68356714"/>
    <w:rsid w:val="68721717"/>
    <w:rsid w:val="68F62348"/>
    <w:rsid w:val="69012A9A"/>
    <w:rsid w:val="690347A6"/>
    <w:rsid w:val="69690D6B"/>
    <w:rsid w:val="698614C8"/>
    <w:rsid w:val="69B664CA"/>
    <w:rsid w:val="69CF4947"/>
    <w:rsid w:val="6A130CD7"/>
    <w:rsid w:val="6A5A7287"/>
    <w:rsid w:val="6AA45DD3"/>
    <w:rsid w:val="6AE23F1A"/>
    <w:rsid w:val="6AEF704E"/>
    <w:rsid w:val="6AFD516F"/>
    <w:rsid w:val="6BC93D43"/>
    <w:rsid w:val="6C7C7008"/>
    <w:rsid w:val="6D033285"/>
    <w:rsid w:val="6D062D75"/>
    <w:rsid w:val="6D3614F2"/>
    <w:rsid w:val="6D5238C5"/>
    <w:rsid w:val="6DD24A05"/>
    <w:rsid w:val="6DEA440E"/>
    <w:rsid w:val="6E1D0376"/>
    <w:rsid w:val="6EE3511C"/>
    <w:rsid w:val="6EE42C42"/>
    <w:rsid w:val="6F4162E7"/>
    <w:rsid w:val="6FA81EC2"/>
    <w:rsid w:val="6FE35AD8"/>
    <w:rsid w:val="70187D35"/>
    <w:rsid w:val="70814BED"/>
    <w:rsid w:val="709E478E"/>
    <w:rsid w:val="71243D51"/>
    <w:rsid w:val="71C34D91"/>
    <w:rsid w:val="72184B62"/>
    <w:rsid w:val="727B498D"/>
    <w:rsid w:val="72812E9C"/>
    <w:rsid w:val="729C6459"/>
    <w:rsid w:val="72DF209E"/>
    <w:rsid w:val="73B21561"/>
    <w:rsid w:val="740F250F"/>
    <w:rsid w:val="74A36B67"/>
    <w:rsid w:val="74EA0C7E"/>
    <w:rsid w:val="7564688B"/>
    <w:rsid w:val="768C42EB"/>
    <w:rsid w:val="775D3592"/>
    <w:rsid w:val="77A02E51"/>
    <w:rsid w:val="77BB1DAC"/>
    <w:rsid w:val="77C6247B"/>
    <w:rsid w:val="77CE4490"/>
    <w:rsid w:val="77DB1E33"/>
    <w:rsid w:val="7840713B"/>
    <w:rsid w:val="78540E39"/>
    <w:rsid w:val="78CB7BE6"/>
    <w:rsid w:val="792743E7"/>
    <w:rsid w:val="79340096"/>
    <w:rsid w:val="794E3ADA"/>
    <w:rsid w:val="79501600"/>
    <w:rsid w:val="795B7FA5"/>
    <w:rsid w:val="79667075"/>
    <w:rsid w:val="79780B57"/>
    <w:rsid w:val="79D00993"/>
    <w:rsid w:val="7A3D3087"/>
    <w:rsid w:val="7A4515DC"/>
    <w:rsid w:val="7A8CAC58"/>
    <w:rsid w:val="7A925C48"/>
    <w:rsid w:val="7AD65312"/>
    <w:rsid w:val="7AF5656D"/>
    <w:rsid w:val="7AF918E1"/>
    <w:rsid w:val="7B057D69"/>
    <w:rsid w:val="7B9A1258"/>
    <w:rsid w:val="7BD45723"/>
    <w:rsid w:val="7BD91074"/>
    <w:rsid w:val="7BD9D676"/>
    <w:rsid w:val="7BDF27E0"/>
    <w:rsid w:val="7C43544C"/>
    <w:rsid w:val="7C75137E"/>
    <w:rsid w:val="7CAC4E06"/>
    <w:rsid w:val="7CB93960"/>
    <w:rsid w:val="7CBB1486"/>
    <w:rsid w:val="7CDB38D7"/>
    <w:rsid w:val="7D0A41BC"/>
    <w:rsid w:val="7D5E0242"/>
    <w:rsid w:val="7D9121E7"/>
    <w:rsid w:val="7DA73A86"/>
    <w:rsid w:val="7DAC7021"/>
    <w:rsid w:val="7E066731"/>
    <w:rsid w:val="7E1A3F8B"/>
    <w:rsid w:val="7E386F6C"/>
    <w:rsid w:val="7E97B8C6"/>
    <w:rsid w:val="7EB268B9"/>
    <w:rsid w:val="7EC04F22"/>
    <w:rsid w:val="7ED86500"/>
    <w:rsid w:val="7FB39881"/>
    <w:rsid w:val="7FF1DC50"/>
    <w:rsid w:val="7FFFA123"/>
    <w:rsid w:val="96ED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73819"/>
  <w15:docId w15:val="{983A6209-6C5E-404E-BC13-7CF7C897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ind w:firstLineChars="150" w:firstLine="150"/>
      <w:jc w:val="both"/>
    </w:pPr>
    <w:rPr>
      <w:kern w:val="2"/>
      <w:sz w:val="21"/>
      <w:szCs w:val="22"/>
    </w:rPr>
  </w:style>
  <w:style w:type="paragraph" w:styleId="2">
    <w:name w:val="heading 2"/>
    <w:basedOn w:val="a4"/>
    <w:uiPriority w:val="9"/>
    <w:unhideWhenUsed/>
    <w:qFormat/>
    <w:pPr>
      <w:ind w:firstLineChars="0" w:firstLine="0"/>
      <w:outlineLvl w:val="1"/>
    </w:pPr>
    <w:rPr>
      <w:sz w:val="28"/>
      <w:szCs w:val="28"/>
    </w:rPr>
  </w:style>
  <w:style w:type="paragraph" w:styleId="3">
    <w:name w:val="heading 3"/>
    <w:basedOn w:val="2"/>
    <w:next w:val="a3"/>
    <w:uiPriority w:val="9"/>
    <w:unhideWhenUsed/>
    <w:qFormat/>
    <w:pPr>
      <w:outlineLvl w:val="2"/>
    </w:pPr>
    <w:rPr>
      <w:sz w:val="24"/>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w:basedOn w:val="a3"/>
    <w:uiPriority w:val="1"/>
    <w:qFormat/>
    <w:pPr>
      <w:spacing w:line="360" w:lineRule="auto"/>
      <w:ind w:firstLineChars="200" w:firstLine="480"/>
      <w:jc w:val="left"/>
    </w:pPr>
    <w:rPr>
      <w:kern w:val="0"/>
      <w:sz w:val="24"/>
    </w:rPr>
  </w:style>
  <w:style w:type="paragraph" w:styleId="a8">
    <w:name w:val="annotation text"/>
    <w:basedOn w:val="a3"/>
    <w:link w:val="a9"/>
    <w:qFormat/>
    <w:pPr>
      <w:jc w:val="left"/>
    </w:pPr>
  </w:style>
  <w:style w:type="paragraph" w:styleId="aa">
    <w:name w:val="endnote text"/>
    <w:basedOn w:val="a3"/>
    <w:link w:val="ab"/>
    <w:qFormat/>
    <w:pPr>
      <w:snapToGrid w:val="0"/>
      <w:jc w:val="left"/>
    </w:pPr>
  </w:style>
  <w:style w:type="paragraph" w:styleId="ac">
    <w:name w:val="footer"/>
    <w:basedOn w:val="a3"/>
    <w:qFormat/>
    <w:pPr>
      <w:tabs>
        <w:tab w:val="center" w:pos="4153"/>
        <w:tab w:val="right" w:pos="8306"/>
      </w:tabs>
      <w:snapToGrid w:val="0"/>
      <w:jc w:val="left"/>
    </w:pPr>
    <w:rPr>
      <w:kern w:val="0"/>
      <w:sz w:val="18"/>
      <w:szCs w:val="18"/>
    </w:rPr>
  </w:style>
  <w:style w:type="paragraph" w:styleId="ad">
    <w:name w:val="header"/>
    <w:basedOn w:val="a3"/>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3"/>
    <w:next w:val="a3"/>
    <w:qFormat/>
  </w:style>
  <w:style w:type="paragraph" w:styleId="TOC2">
    <w:name w:val="toc 2"/>
    <w:basedOn w:val="a3"/>
    <w:next w:val="a3"/>
    <w:qFormat/>
    <w:pPr>
      <w:ind w:leftChars="200" w:left="420"/>
    </w:pPr>
  </w:style>
  <w:style w:type="paragraph" w:styleId="ae">
    <w:name w:val="annotation subject"/>
    <w:basedOn w:val="a8"/>
    <w:next w:val="a8"/>
    <w:link w:val="af"/>
    <w:qFormat/>
    <w:rPr>
      <w:b/>
      <w:bCs/>
    </w:rPr>
  </w:style>
  <w:style w:type="table" w:styleId="af0">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5"/>
    <w:qFormat/>
    <w:rPr>
      <w:b/>
    </w:rPr>
  </w:style>
  <w:style w:type="character" w:styleId="af2">
    <w:name w:val="endnote reference"/>
    <w:basedOn w:val="a5"/>
    <w:qFormat/>
    <w:rPr>
      <w:vertAlign w:val="superscript"/>
    </w:rPr>
  </w:style>
  <w:style w:type="character" w:styleId="af3">
    <w:name w:val="annotation reference"/>
    <w:basedOn w:val="a5"/>
    <w:qFormat/>
    <w:rPr>
      <w:sz w:val="21"/>
      <w:szCs w:val="21"/>
    </w:rPr>
  </w:style>
  <w:style w:type="paragraph" w:customStyle="1" w:styleId="af4">
    <w:name w:val="封面标准英文名称"/>
    <w:autoRedefine/>
    <w:qFormat/>
    <w:pPr>
      <w:widowControl w:val="0"/>
      <w:spacing w:line="360" w:lineRule="exact"/>
      <w:jc w:val="center"/>
    </w:pPr>
    <w:rPr>
      <w:sz w:val="28"/>
    </w:rPr>
  </w:style>
  <w:style w:type="paragraph" w:customStyle="1" w:styleId="af5">
    <w:name w:val="标准文件_文件名称"/>
    <w:basedOn w:val="a3"/>
    <w:next w:val="a3"/>
    <w:autoRedefine/>
    <w:qFormat/>
    <w:pPr>
      <w:framePr w:w="9639" w:h="6976" w:hRule="exact" w:wrap="auto" w:vAnchor="page" w:hAnchor="page" w:y="6408"/>
      <w:spacing w:line="700" w:lineRule="exact"/>
      <w:ind w:firstLineChars="0" w:firstLine="0"/>
      <w:jc w:val="center"/>
    </w:pPr>
    <w:rPr>
      <w:rFonts w:ascii="黑体" w:eastAsia="黑体" w:hAnsi="黑体"/>
      <w:bCs/>
      <w:kern w:val="0"/>
      <w:sz w:val="52"/>
      <w:szCs w:val="20"/>
    </w:rPr>
  </w:style>
  <w:style w:type="paragraph" w:customStyle="1" w:styleId="1">
    <w:name w:val="修订1"/>
    <w:hidden/>
    <w:uiPriority w:val="99"/>
    <w:unhideWhenUsed/>
    <w:qFormat/>
    <w:rPr>
      <w:kern w:val="2"/>
      <w:sz w:val="21"/>
      <w:szCs w:val="22"/>
    </w:rPr>
  </w:style>
  <w:style w:type="character" w:customStyle="1" w:styleId="a9">
    <w:name w:val="批注文字 字符"/>
    <w:basedOn w:val="a5"/>
    <w:link w:val="a8"/>
    <w:qFormat/>
    <w:rPr>
      <w:rFonts w:ascii="Times New Roman" w:eastAsia="宋体" w:hAnsi="Times New Roman" w:cs="Times New Roman"/>
      <w:kern w:val="2"/>
      <w:sz w:val="21"/>
      <w:szCs w:val="22"/>
    </w:rPr>
  </w:style>
  <w:style w:type="character" w:customStyle="1" w:styleId="af">
    <w:name w:val="批注主题 字符"/>
    <w:basedOn w:val="a9"/>
    <w:link w:val="ae"/>
    <w:qFormat/>
    <w:rPr>
      <w:rFonts w:ascii="Times New Roman" w:eastAsia="宋体" w:hAnsi="Times New Roman" w:cs="Times New Roman"/>
      <w:b/>
      <w:bCs/>
      <w:kern w:val="2"/>
      <w:sz w:val="21"/>
      <w:szCs w:val="22"/>
    </w:rPr>
  </w:style>
  <w:style w:type="paragraph" w:customStyle="1" w:styleId="af6">
    <w:name w:val="标准文件_段"/>
    <w:link w:val="Char"/>
    <w:autoRedefine/>
    <w:qFormat/>
    <w:pPr>
      <w:autoSpaceDE w:val="0"/>
      <w:autoSpaceDN w:val="0"/>
      <w:ind w:firstLineChars="200" w:firstLine="200"/>
      <w:jc w:val="both"/>
    </w:pPr>
    <w:rPr>
      <w:rFonts w:ascii="宋体"/>
      <w:sz w:val="21"/>
    </w:rPr>
  </w:style>
  <w:style w:type="paragraph" w:customStyle="1" w:styleId="p0">
    <w:name w:val="p0"/>
    <w:basedOn w:val="a3"/>
    <w:qFormat/>
    <w:rPr>
      <w:kern w:val="0"/>
      <w:szCs w:val="21"/>
    </w:rPr>
  </w:style>
  <w:style w:type="paragraph" w:styleId="af7">
    <w:name w:val="List Paragraph"/>
    <w:basedOn w:val="a3"/>
    <w:uiPriority w:val="99"/>
    <w:unhideWhenUsed/>
    <w:qFormat/>
    <w:pPr>
      <w:ind w:firstLineChars="200" w:firstLine="420"/>
    </w:pPr>
  </w:style>
  <w:style w:type="character" w:customStyle="1" w:styleId="ab">
    <w:name w:val="尾注文本 字符"/>
    <w:basedOn w:val="a5"/>
    <w:link w:val="aa"/>
    <w:qFormat/>
    <w:rPr>
      <w:rFonts w:ascii="Times New Roman" w:eastAsia="宋体" w:hAnsi="Times New Roman" w:cs="Times New Roman"/>
      <w:kern w:val="2"/>
      <w:sz w:val="21"/>
      <w:szCs w:val="22"/>
    </w:rPr>
  </w:style>
  <w:style w:type="character" w:customStyle="1" w:styleId="Char">
    <w:name w:val="标准文件_段 Char"/>
    <w:link w:val="af6"/>
    <w:autoRedefine/>
    <w:qFormat/>
    <w:rPr>
      <w:rFonts w:ascii="宋体" w:eastAsia="宋体" w:hAnsi="Times New Roman" w:cs="Times New Roman"/>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a1">
    <w:name w:val="标准文件_一级条标题"/>
    <w:basedOn w:val="a0"/>
    <w:next w:val="af6"/>
    <w:qFormat/>
    <w:pPr>
      <w:numPr>
        <w:ilvl w:val="2"/>
      </w:numPr>
      <w:spacing w:beforeLines="50" w:before="50" w:afterLines="50" w:after="50"/>
      <w:outlineLvl w:val="1"/>
    </w:pPr>
  </w:style>
  <w:style w:type="paragraph" w:customStyle="1" w:styleId="a0">
    <w:name w:val="标准文件_章标题"/>
    <w:next w:val="af6"/>
    <w:qFormat/>
    <w:pPr>
      <w:numPr>
        <w:ilvl w:val="1"/>
        <w:numId w:val="1"/>
      </w:numPr>
      <w:spacing w:beforeLines="100" w:before="100" w:afterLines="100" w:after="100"/>
      <w:jc w:val="both"/>
      <w:outlineLvl w:val="0"/>
    </w:pPr>
    <w:rPr>
      <w:rFonts w:ascii="黑体" w:eastAsia="黑体"/>
      <w:sz w:val="21"/>
    </w:rPr>
  </w:style>
  <w:style w:type="paragraph" w:customStyle="1" w:styleId="af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标准文件_二级条标题"/>
    <w:next w:val="af6"/>
    <w:qFormat/>
    <w:pPr>
      <w:widowControl w:val="0"/>
      <w:numPr>
        <w:ilvl w:val="3"/>
        <w:numId w:val="1"/>
      </w:numPr>
      <w:spacing w:beforeLines="50" w:before="50" w:afterLines="50" w:after="50"/>
      <w:jc w:val="both"/>
      <w:outlineLvl w:val="2"/>
    </w:pPr>
    <w:rPr>
      <w:rFonts w:ascii="黑体" w:eastAsia="黑体"/>
      <w:sz w:val="21"/>
    </w:rPr>
  </w:style>
  <w:style w:type="paragraph" w:customStyle="1" w:styleId="af9">
    <w:name w:val="标准文件_页眉奇数页"/>
    <w:next w:val="a3"/>
    <w:qFormat/>
    <w:pPr>
      <w:tabs>
        <w:tab w:val="center" w:pos="4154"/>
        <w:tab w:val="right" w:pos="8306"/>
      </w:tabs>
      <w:spacing w:after="120"/>
      <w:jc w:val="right"/>
    </w:pPr>
    <w:rPr>
      <w:rFonts w:ascii="黑体" w:eastAsia="黑体" w:hAnsi="宋体"/>
      <w:sz w:val="21"/>
    </w:rPr>
  </w:style>
  <w:style w:type="paragraph" w:customStyle="1" w:styleId="afa">
    <w:name w:val="标准文件_页脚奇数页"/>
    <w:qFormat/>
    <w:pPr>
      <w:ind w:right="227"/>
      <w:jc w:val="right"/>
    </w:pPr>
    <w:rPr>
      <w:rFonts w:ascii="宋体"/>
      <w:sz w:val="18"/>
    </w:rPr>
  </w:style>
  <w:style w:type="paragraph" w:customStyle="1" w:styleId="a">
    <w:name w:val="标准文件_字母编号列项（一级）"/>
    <w:qFormat/>
    <w:pPr>
      <w:numPr>
        <w:numId w:val="2"/>
      </w:numPr>
      <w:jc w:val="both"/>
    </w:pPr>
    <w:rPr>
      <w:rFonts w:ascii="宋体"/>
      <w:sz w:val="21"/>
    </w:rPr>
  </w:style>
  <w:style w:type="paragraph" w:styleId="afb">
    <w:name w:val="Revision"/>
    <w:hidden/>
    <w:uiPriority w:val="99"/>
    <w:unhideWhenUsed/>
    <w:rsid w:val="008D459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211E42-24BD-408F-B118-6AA2BD3A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3453</Words>
  <Characters>3764</Characters>
  <Application>Microsoft Office Word</Application>
  <DocSecurity>0</DocSecurity>
  <Lines>209</Lines>
  <Paragraphs>206</Paragraphs>
  <ScaleCrop>false</ScaleCrop>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86158</dc:creator>
  <cp:lastModifiedBy>yong wang</cp:lastModifiedBy>
  <cp:revision>3</cp:revision>
  <cp:lastPrinted>2026-01-30T02:59:00Z</cp:lastPrinted>
  <dcterms:created xsi:type="dcterms:W3CDTF">2026-06-22T04:01:00Z</dcterms:created>
  <dcterms:modified xsi:type="dcterms:W3CDTF">2026-06-22T06:50:00Z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E6778C844D60433FAC3FEE4196617E6A_13</vt:lpwstr>
  </property>
  <property fmtid="{D5CDD505-2E9C-101B-9397-08002B2CF9AE}" pid="4" name="KSOTemplateDocerSaveRecord">
    <vt:lpwstr>eyJoZGlkIjoiZDUyYmQ0NjQwMWJiOTY5Y2E5MmRhMWQ1Y2I5YWEzNjgiLCJ1c2VySWQiOiIxMTMwNTc5NjA0In0=</vt:lpwstr>
  </property>
</Properties>
</file>